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CB8" w:rsidRDefault="00413CB8" w:rsidP="00413CB8">
      <w:pPr>
        <w:jc w:val="right"/>
        <w:rPr>
          <w:rFonts w:ascii="Times New Roman" w:eastAsia="標楷體" w:hAnsi="Times New Roman" w:cs="Times New Roman"/>
          <w:b/>
          <w:szCs w:val="24"/>
          <w:u w:val="single"/>
          <w:lang w:eastAsia="zh-HK"/>
        </w:rPr>
      </w:pPr>
      <w:r w:rsidRPr="00580CF3">
        <w:rPr>
          <w:rFonts w:eastAsia="標楷體" w:hint="eastAsia"/>
          <w:b/>
          <w:szCs w:val="24"/>
          <w:u w:val="single"/>
        </w:rPr>
        <w:t>附件</w:t>
      </w:r>
    </w:p>
    <w:p w:rsidR="009D5C01" w:rsidRPr="00596B55" w:rsidRDefault="009D08DE" w:rsidP="009D5C01">
      <w:pPr>
        <w:jc w:val="center"/>
        <w:rPr>
          <w:rFonts w:ascii="Times New Roman" w:eastAsia="SimSun" w:hAnsi="Times New Roman" w:cs="Times New Roman"/>
          <w:b/>
          <w:szCs w:val="24"/>
          <w:u w:val="single"/>
        </w:rPr>
      </w:pPr>
      <w:r w:rsidRPr="009D08DE">
        <w:rPr>
          <w:rFonts w:ascii="Times New Roman" w:eastAsia="標楷體" w:hAnsi="Times New Roman" w:cs="Times New Roman" w:hint="eastAsia"/>
          <w:b/>
          <w:szCs w:val="24"/>
          <w:u w:val="single"/>
        </w:rPr>
        <w:t>《</w:t>
      </w:r>
      <w:r w:rsidR="00121794">
        <w:rPr>
          <w:rFonts w:ascii="Times New Roman" w:eastAsia="標楷體" w:hAnsi="Times New Roman" w:cs="Times New Roman" w:hint="eastAsia"/>
          <w:b/>
          <w:szCs w:val="24"/>
          <w:u w:val="single"/>
        </w:rPr>
        <w:t>服務貿易</w:t>
      </w:r>
      <w:r w:rsidRPr="009D08DE">
        <w:rPr>
          <w:rFonts w:ascii="Times New Roman" w:eastAsia="標楷體" w:hAnsi="Times New Roman" w:cs="Times New Roman" w:hint="eastAsia"/>
          <w:b/>
          <w:szCs w:val="24"/>
          <w:u w:val="single"/>
        </w:rPr>
        <w:t>協議》</w:t>
      </w:r>
      <w:r w:rsidR="009D5C01" w:rsidRPr="009D5C01">
        <w:rPr>
          <w:rFonts w:ascii="Times New Roman" w:eastAsia="標楷體" w:hAnsi="Times New Roman" w:cs="Times New Roman"/>
          <w:b/>
          <w:szCs w:val="24"/>
          <w:u w:val="single"/>
        </w:rPr>
        <w:t>的</w:t>
      </w:r>
      <w:r w:rsidR="00177399" w:rsidRPr="00177399">
        <w:rPr>
          <w:rFonts w:ascii="Times New Roman" w:eastAsia="標楷體" w:hAnsi="Times New Roman" w:cs="Times New Roman" w:hint="eastAsia"/>
          <w:b/>
          <w:szCs w:val="24"/>
          <w:u w:val="single"/>
        </w:rPr>
        <w:t>具體</w:t>
      </w:r>
      <w:r w:rsidR="009D5C01" w:rsidRPr="009D5C01">
        <w:rPr>
          <w:rFonts w:ascii="Times New Roman" w:eastAsia="標楷體" w:hAnsi="Times New Roman" w:cs="Times New Roman"/>
          <w:b/>
          <w:szCs w:val="24"/>
          <w:u w:val="single"/>
        </w:rPr>
        <w:t>開放措施</w:t>
      </w:r>
      <w:r w:rsidR="000267D9" w:rsidRPr="000267D9">
        <w:rPr>
          <w:rFonts w:ascii="Times New Roman" w:eastAsia="標楷體" w:hAnsi="Times New Roman" w:cs="Times New Roman" w:hint="eastAsia"/>
          <w:b/>
          <w:szCs w:val="24"/>
          <w:u w:val="single"/>
        </w:rPr>
        <w:t>例子</w:t>
      </w:r>
    </w:p>
    <w:p w:rsidR="009D5C01" w:rsidRPr="002632F5" w:rsidRDefault="009D5C01" w:rsidP="002632F5">
      <w:pPr>
        <w:rPr>
          <w:rFonts w:ascii="Times New Roman" w:eastAsia="標楷體" w:hAnsi="Times New Roman" w:cs="Times New Roman"/>
          <w:b/>
          <w:szCs w:val="24"/>
        </w:rPr>
      </w:pPr>
    </w:p>
    <w:tbl>
      <w:tblPr>
        <w:tblStyle w:val="a3"/>
        <w:tblW w:w="0" w:type="auto"/>
        <w:tblInd w:w="108" w:type="dxa"/>
        <w:tblLook w:val="04A0" w:firstRow="1" w:lastRow="0" w:firstColumn="1" w:lastColumn="0" w:noHBand="0" w:noVBand="1"/>
      </w:tblPr>
      <w:tblGrid>
        <w:gridCol w:w="1560"/>
        <w:gridCol w:w="6854"/>
      </w:tblGrid>
      <w:tr w:rsidR="009D5C01" w:rsidRPr="00965D36" w:rsidTr="00CA516A">
        <w:trPr>
          <w:trHeight w:val="633"/>
          <w:tblHeader/>
        </w:trPr>
        <w:tc>
          <w:tcPr>
            <w:tcW w:w="1560" w:type="dxa"/>
            <w:tcBorders>
              <w:bottom w:val="single" w:sz="4" w:space="0" w:color="auto"/>
            </w:tcBorders>
            <w:shd w:val="clear" w:color="auto" w:fill="D9D9D9" w:themeFill="background1" w:themeFillShade="D9"/>
            <w:vAlign w:val="center"/>
          </w:tcPr>
          <w:p w:rsidR="009D5C01" w:rsidRPr="0036126C" w:rsidRDefault="009D5C01" w:rsidP="003C1B36">
            <w:pPr>
              <w:jc w:val="center"/>
              <w:rPr>
                <w:rFonts w:ascii="標楷體" w:eastAsia="標楷體" w:hAnsi="標楷體"/>
                <w:szCs w:val="24"/>
                <w:lang w:eastAsia="zh-CN"/>
              </w:rPr>
            </w:pPr>
            <w:r w:rsidRPr="0036126C">
              <w:rPr>
                <w:rFonts w:ascii="標楷體" w:eastAsia="標楷體" w:hAnsi="標楷體" w:hint="eastAsia"/>
                <w:b/>
                <w:szCs w:val="24"/>
              </w:rPr>
              <w:t>領域</w:t>
            </w:r>
          </w:p>
        </w:tc>
        <w:tc>
          <w:tcPr>
            <w:tcW w:w="6854" w:type="dxa"/>
            <w:tcBorders>
              <w:bottom w:val="single" w:sz="4" w:space="0" w:color="auto"/>
            </w:tcBorders>
            <w:shd w:val="clear" w:color="auto" w:fill="D9D9D9" w:themeFill="background1" w:themeFillShade="D9"/>
            <w:vAlign w:val="center"/>
          </w:tcPr>
          <w:p w:rsidR="009D5C01" w:rsidRPr="009D5C01" w:rsidRDefault="009D5C01" w:rsidP="009D5C01">
            <w:pPr>
              <w:jc w:val="center"/>
              <w:rPr>
                <w:rFonts w:ascii="標楷體" w:hAnsi="標楷體"/>
                <w:b/>
                <w:szCs w:val="24"/>
              </w:rPr>
            </w:pPr>
            <w:r>
              <w:rPr>
                <w:rFonts w:ascii="標楷體" w:eastAsia="標楷體" w:hAnsi="標楷體" w:hint="eastAsia"/>
                <w:b/>
                <w:szCs w:val="24"/>
              </w:rPr>
              <w:t>開放</w:t>
            </w:r>
            <w:r w:rsidRPr="0036126C">
              <w:rPr>
                <w:rFonts w:ascii="標楷體" w:eastAsia="標楷體" w:hAnsi="標楷體" w:hint="eastAsia"/>
                <w:b/>
                <w:szCs w:val="24"/>
              </w:rPr>
              <w:t>措施</w:t>
            </w:r>
          </w:p>
        </w:tc>
      </w:tr>
      <w:tr w:rsidR="009D5C01" w:rsidRPr="002632F5" w:rsidTr="00CA516A">
        <w:tc>
          <w:tcPr>
            <w:tcW w:w="1560" w:type="dxa"/>
          </w:tcPr>
          <w:p w:rsidR="009D5C01" w:rsidRPr="002632F5" w:rsidRDefault="009D5C01" w:rsidP="009D5C01">
            <w:pPr>
              <w:jc w:val="center"/>
              <w:rPr>
                <w:rFonts w:ascii="標楷體" w:eastAsia="標楷體" w:hAnsi="標楷體"/>
                <w:b/>
                <w:szCs w:val="24"/>
              </w:rPr>
            </w:pPr>
            <w:r w:rsidRPr="002632F5">
              <w:rPr>
                <w:rFonts w:ascii="標楷體" w:eastAsia="標楷體" w:hAnsi="標楷體" w:hint="eastAsia"/>
                <w:b/>
                <w:szCs w:val="24"/>
              </w:rPr>
              <w:t>法律</w:t>
            </w:r>
          </w:p>
        </w:tc>
        <w:tc>
          <w:tcPr>
            <w:tcW w:w="6854" w:type="dxa"/>
          </w:tcPr>
          <w:p w:rsidR="002632F5" w:rsidRPr="00CA516A" w:rsidRDefault="002632F5" w:rsidP="007B7CC6">
            <w:pPr>
              <w:pStyle w:val="a4"/>
              <w:numPr>
                <w:ilvl w:val="0"/>
                <w:numId w:val="18"/>
              </w:numPr>
              <w:ind w:leftChars="0"/>
              <w:jc w:val="both"/>
              <w:rPr>
                <w:rFonts w:ascii="標楷體" w:eastAsia="標楷體" w:hAnsi="標楷體"/>
              </w:rPr>
            </w:pPr>
            <w:r w:rsidRPr="00CA516A">
              <w:rPr>
                <w:rFonts w:ascii="標楷體" w:eastAsia="標楷體" w:hAnsi="標楷體" w:hint="eastAsia"/>
              </w:rPr>
              <w:t>香港律師事務所</w:t>
            </w:r>
            <w:r w:rsidR="004D114E" w:rsidRPr="00CA516A">
              <w:rPr>
                <w:rFonts w:ascii="標楷體" w:eastAsia="標楷體" w:hAnsi="標楷體" w:hint="eastAsia"/>
              </w:rPr>
              <w:t>可</w:t>
            </w:r>
            <w:r w:rsidRPr="00CA516A">
              <w:rPr>
                <w:rFonts w:ascii="標楷體" w:eastAsia="標楷體" w:hAnsi="標楷體" w:hint="eastAsia"/>
              </w:rPr>
              <w:t>向內地律師事務所派駐香港律師</w:t>
            </w:r>
            <w:proofErr w:type="gramStart"/>
            <w:r w:rsidRPr="00CA516A">
              <w:rPr>
                <w:rFonts w:ascii="標楷體" w:eastAsia="標楷體" w:hAnsi="標楷體" w:hint="eastAsia"/>
              </w:rPr>
              <w:t>擔任涉港或</w:t>
            </w:r>
            <w:proofErr w:type="gramEnd"/>
            <w:r w:rsidRPr="00CA516A">
              <w:rPr>
                <w:rFonts w:ascii="標楷體" w:eastAsia="標楷體" w:hAnsi="標楷體" w:hint="eastAsia"/>
              </w:rPr>
              <w:t>跨境法律顧問</w:t>
            </w:r>
            <w:r w:rsidR="004D114E" w:rsidRPr="00CA516A">
              <w:rPr>
                <w:rFonts w:ascii="標楷體" w:eastAsia="標楷體" w:hAnsi="標楷體" w:hint="eastAsia"/>
              </w:rPr>
              <w:t>。</w:t>
            </w:r>
          </w:p>
          <w:p w:rsidR="002632F5" w:rsidRPr="00CA516A" w:rsidRDefault="002632F5" w:rsidP="007B7CC6">
            <w:pPr>
              <w:jc w:val="both"/>
              <w:rPr>
                <w:rFonts w:ascii="標楷體" w:eastAsia="標楷體" w:hAnsi="標楷體"/>
              </w:rPr>
            </w:pPr>
          </w:p>
          <w:p w:rsidR="002632F5" w:rsidRPr="00CA516A" w:rsidRDefault="002632F5" w:rsidP="007B7CC6">
            <w:pPr>
              <w:pStyle w:val="a4"/>
              <w:numPr>
                <w:ilvl w:val="0"/>
                <w:numId w:val="18"/>
              </w:numPr>
              <w:ind w:leftChars="0"/>
              <w:jc w:val="both"/>
              <w:rPr>
                <w:rFonts w:ascii="標楷體" w:eastAsia="標楷體" w:hAnsi="標楷體"/>
              </w:rPr>
            </w:pPr>
            <w:r w:rsidRPr="00CA516A">
              <w:rPr>
                <w:rFonts w:ascii="標楷體" w:eastAsia="標楷體" w:hAnsi="標楷體" w:hint="eastAsia"/>
              </w:rPr>
              <w:t>內地律師事務所</w:t>
            </w:r>
            <w:r w:rsidR="004D114E" w:rsidRPr="00CA516A">
              <w:rPr>
                <w:rFonts w:ascii="標楷體" w:eastAsia="標楷體" w:hAnsi="標楷體" w:hint="eastAsia"/>
              </w:rPr>
              <w:t>可</w:t>
            </w:r>
            <w:r w:rsidRPr="00CA516A">
              <w:rPr>
                <w:rFonts w:ascii="標楷體" w:eastAsia="標楷體" w:hAnsi="標楷體" w:hint="eastAsia"/>
              </w:rPr>
              <w:t>向香港律師事務所駐內地代表機構派駐內地律師擔任內地法律顧問</w:t>
            </w:r>
            <w:r w:rsidR="004D114E" w:rsidRPr="00CA516A">
              <w:rPr>
                <w:rFonts w:ascii="標楷體" w:eastAsia="標楷體" w:hAnsi="標楷體" w:hint="eastAsia"/>
              </w:rPr>
              <w:t>。</w:t>
            </w:r>
          </w:p>
          <w:p w:rsidR="002632F5" w:rsidRPr="00CA516A" w:rsidRDefault="002632F5" w:rsidP="007B7CC6">
            <w:pPr>
              <w:jc w:val="both"/>
              <w:rPr>
                <w:rFonts w:ascii="標楷體" w:eastAsia="標楷體" w:hAnsi="標楷體"/>
              </w:rPr>
            </w:pPr>
          </w:p>
          <w:p w:rsidR="002632F5" w:rsidRPr="00CA516A" w:rsidRDefault="004D114E" w:rsidP="007B7CC6">
            <w:pPr>
              <w:pStyle w:val="a4"/>
              <w:numPr>
                <w:ilvl w:val="0"/>
                <w:numId w:val="18"/>
              </w:numPr>
              <w:ind w:leftChars="0"/>
              <w:jc w:val="both"/>
              <w:rPr>
                <w:rFonts w:ascii="標楷體" w:eastAsia="標楷體" w:hAnsi="標楷體"/>
              </w:rPr>
            </w:pPr>
            <w:r w:rsidRPr="00CA516A">
              <w:rPr>
                <w:rFonts w:ascii="標楷體" w:eastAsia="標楷體" w:hAnsi="標楷體" w:hint="eastAsia"/>
              </w:rPr>
              <w:t>香港律師事務所可</w:t>
            </w:r>
            <w:r w:rsidR="002632F5" w:rsidRPr="00CA516A">
              <w:rPr>
                <w:rFonts w:ascii="標楷體" w:eastAsia="標楷體" w:hAnsi="標楷體" w:hint="eastAsia"/>
              </w:rPr>
              <w:t>在</w:t>
            </w:r>
            <w:r w:rsidR="00781762" w:rsidRPr="00CA516A">
              <w:rPr>
                <w:rFonts w:ascii="標楷體" w:eastAsia="標楷體" w:hAnsi="標楷體" w:hint="eastAsia"/>
              </w:rPr>
              <w:t>廣州、深圳、珠海</w:t>
            </w:r>
            <w:r w:rsidR="002632F5" w:rsidRPr="00CA516A">
              <w:rPr>
                <w:rFonts w:ascii="標楷體" w:eastAsia="標楷體" w:hAnsi="標楷體" w:hint="eastAsia"/>
              </w:rPr>
              <w:t>與內地</w:t>
            </w:r>
            <w:r w:rsidR="00172BC0" w:rsidRPr="00CA516A">
              <w:rPr>
                <w:rFonts w:ascii="標楷體" w:eastAsia="標楷體" w:hAnsi="標楷體" w:hint="eastAsia"/>
              </w:rPr>
              <w:t>律師事務所</w:t>
            </w:r>
            <w:r w:rsidR="002632F5" w:rsidRPr="00CA516A">
              <w:rPr>
                <w:rFonts w:ascii="標楷體" w:eastAsia="標楷體" w:hAnsi="標楷體" w:hint="eastAsia"/>
              </w:rPr>
              <w:t>以合夥方式聯營</w:t>
            </w:r>
            <w:r w:rsidRPr="00CA516A">
              <w:rPr>
                <w:rFonts w:ascii="標楷體" w:eastAsia="標楷體" w:hAnsi="標楷體" w:hint="eastAsia"/>
              </w:rPr>
              <w:t>。</w:t>
            </w:r>
          </w:p>
          <w:p w:rsidR="00864B93" w:rsidRPr="00CA516A" w:rsidRDefault="00864B93" w:rsidP="007B7CC6">
            <w:pPr>
              <w:jc w:val="both"/>
              <w:rPr>
                <w:rFonts w:ascii="標楷體" w:eastAsia="標楷體" w:hAnsi="標楷體"/>
              </w:rPr>
            </w:pPr>
          </w:p>
        </w:tc>
      </w:tr>
      <w:tr w:rsidR="009D5C01" w:rsidRPr="002632F5" w:rsidTr="00CA516A">
        <w:tc>
          <w:tcPr>
            <w:tcW w:w="1560" w:type="dxa"/>
          </w:tcPr>
          <w:p w:rsidR="009D5C01" w:rsidRPr="002632F5" w:rsidRDefault="009D5C01" w:rsidP="009D5C01">
            <w:pPr>
              <w:jc w:val="center"/>
              <w:rPr>
                <w:rFonts w:ascii="標楷體" w:eastAsia="標楷體" w:hAnsi="標楷體"/>
                <w:b/>
                <w:szCs w:val="24"/>
              </w:rPr>
            </w:pPr>
            <w:r w:rsidRPr="002632F5">
              <w:rPr>
                <w:rFonts w:ascii="標楷體" w:eastAsia="標楷體" w:hAnsi="標楷體" w:hint="eastAsia"/>
                <w:b/>
                <w:szCs w:val="24"/>
              </w:rPr>
              <w:t>會計</w:t>
            </w:r>
          </w:p>
        </w:tc>
        <w:tc>
          <w:tcPr>
            <w:tcW w:w="6854" w:type="dxa"/>
          </w:tcPr>
          <w:p w:rsidR="002632F5" w:rsidRPr="00CA516A" w:rsidRDefault="002632F5" w:rsidP="007B7CC6">
            <w:pPr>
              <w:pStyle w:val="a4"/>
              <w:numPr>
                <w:ilvl w:val="0"/>
                <w:numId w:val="18"/>
              </w:numPr>
              <w:ind w:leftChars="0"/>
              <w:jc w:val="both"/>
              <w:rPr>
                <w:rFonts w:ascii="標楷體" w:eastAsia="標楷體" w:hAnsi="標楷體"/>
              </w:rPr>
            </w:pPr>
            <w:r w:rsidRPr="00CA516A">
              <w:rPr>
                <w:rFonts w:ascii="標楷體" w:eastAsia="標楷體" w:hAnsi="標楷體" w:hint="eastAsia"/>
              </w:rPr>
              <w:t>取得中國註冊會計師資格的香港</w:t>
            </w:r>
            <w:r w:rsidR="00090CF6" w:rsidRPr="002C2F4F">
              <w:rPr>
                <w:rFonts w:ascii="標楷體" w:eastAsia="標楷體" w:hAnsi="標楷體" w:hint="eastAsia"/>
              </w:rPr>
              <w:t>永久性</w:t>
            </w:r>
            <w:r w:rsidRPr="00CA516A">
              <w:rPr>
                <w:rFonts w:ascii="標楷體" w:eastAsia="標楷體" w:hAnsi="標楷體" w:hint="eastAsia"/>
              </w:rPr>
              <w:t>居民</w:t>
            </w:r>
            <w:r w:rsidR="004D114E" w:rsidRPr="00CA516A">
              <w:rPr>
                <w:rFonts w:ascii="標楷體" w:eastAsia="標楷體" w:hAnsi="標楷體" w:hint="eastAsia"/>
              </w:rPr>
              <w:t>可在</w:t>
            </w:r>
            <w:r w:rsidR="003878DF" w:rsidRPr="00CA516A">
              <w:rPr>
                <w:rFonts w:ascii="標楷體" w:eastAsia="標楷體" w:hAnsi="標楷體" w:hint="eastAsia"/>
              </w:rPr>
              <w:t>內地</w:t>
            </w:r>
            <w:r w:rsidR="004D114E" w:rsidRPr="00CA516A">
              <w:rPr>
                <w:rFonts w:ascii="標楷體" w:eastAsia="標楷體" w:hAnsi="標楷體" w:hint="eastAsia"/>
              </w:rPr>
              <w:t>擔任合</w:t>
            </w:r>
            <w:r w:rsidR="00F92A66" w:rsidRPr="00F92A66">
              <w:rPr>
                <w:rFonts w:ascii="標楷體" w:eastAsia="標楷體" w:hAnsi="標楷體" w:hint="eastAsia"/>
              </w:rPr>
              <w:t>夥</w:t>
            </w:r>
            <w:r w:rsidR="004D114E" w:rsidRPr="00CA516A">
              <w:rPr>
                <w:rFonts w:ascii="標楷體" w:eastAsia="標楷體" w:hAnsi="標楷體" w:hint="eastAsia"/>
              </w:rPr>
              <w:t>制會計師事務所合</w:t>
            </w:r>
            <w:r w:rsidR="00F92A66" w:rsidRPr="00F92A66">
              <w:rPr>
                <w:rFonts w:ascii="標楷體" w:eastAsia="標楷體" w:hAnsi="標楷體" w:hint="eastAsia"/>
              </w:rPr>
              <w:t>夥</w:t>
            </w:r>
            <w:r w:rsidR="004D114E" w:rsidRPr="00CA516A">
              <w:rPr>
                <w:rFonts w:ascii="標楷體" w:eastAsia="標楷體" w:hAnsi="標楷體" w:hint="eastAsia"/>
              </w:rPr>
              <w:t>人，會計師事務所的控制權須由內地居民持有；</w:t>
            </w:r>
            <w:r w:rsidRPr="00CA516A">
              <w:rPr>
                <w:rFonts w:ascii="標楷體" w:eastAsia="標楷體" w:hAnsi="標楷體" w:hint="eastAsia"/>
              </w:rPr>
              <w:t>申請成為</w:t>
            </w:r>
            <w:r w:rsidR="00CD2FC0" w:rsidRPr="00CA516A">
              <w:rPr>
                <w:rFonts w:ascii="標楷體" w:eastAsia="標楷體" w:hAnsi="標楷體" w:hint="eastAsia"/>
              </w:rPr>
              <w:t>內地</w:t>
            </w:r>
            <w:r w:rsidRPr="00CA516A">
              <w:rPr>
                <w:rFonts w:ascii="標楷體" w:eastAsia="標楷體" w:hAnsi="標楷體" w:hint="eastAsia"/>
              </w:rPr>
              <w:t>會計師事務所合夥人時，已在香港取得的審計工作經驗等同於相等時間的內地審計工作經驗。</w:t>
            </w:r>
            <w:r w:rsidR="00831D6A" w:rsidRPr="00831D6A">
              <w:rPr>
                <w:rFonts w:ascii="標楷體" w:eastAsia="標楷體" w:hAnsi="標楷體" w:hint="eastAsia"/>
              </w:rPr>
              <w:t>擔任合夥人的香港永久性居民在內地有固定住所，其中每年在內地居留不少於</w:t>
            </w:r>
            <w:r w:rsidR="00831D6A" w:rsidRPr="00831D6A">
              <w:rPr>
                <w:rFonts w:ascii="標楷體" w:eastAsia="標楷體" w:hAnsi="標楷體"/>
              </w:rPr>
              <w:t>6</w:t>
            </w:r>
            <w:r w:rsidR="00831D6A" w:rsidRPr="00831D6A">
              <w:rPr>
                <w:rFonts w:ascii="標楷體" w:eastAsia="標楷體" w:hAnsi="標楷體" w:hint="eastAsia"/>
              </w:rPr>
              <w:t>個月。</w:t>
            </w:r>
          </w:p>
          <w:p w:rsidR="00864B93" w:rsidRPr="00CA516A" w:rsidRDefault="00864B93" w:rsidP="007B7CC6">
            <w:pPr>
              <w:jc w:val="both"/>
              <w:rPr>
                <w:rFonts w:ascii="標楷體" w:eastAsia="標楷體" w:hAnsi="標楷體"/>
              </w:rPr>
            </w:pPr>
          </w:p>
        </w:tc>
      </w:tr>
      <w:tr w:rsidR="009D5C01" w:rsidRPr="002632F5" w:rsidTr="00CA516A">
        <w:tc>
          <w:tcPr>
            <w:tcW w:w="1560" w:type="dxa"/>
          </w:tcPr>
          <w:p w:rsidR="009D5C01" w:rsidRPr="002632F5" w:rsidRDefault="009D5C01" w:rsidP="009D5C01">
            <w:pPr>
              <w:jc w:val="center"/>
              <w:rPr>
                <w:rFonts w:ascii="標楷體" w:eastAsia="標楷體" w:hAnsi="標楷體"/>
                <w:b/>
                <w:szCs w:val="24"/>
              </w:rPr>
            </w:pPr>
            <w:r w:rsidRPr="00837B94">
              <w:rPr>
                <w:rFonts w:ascii="標楷體" w:eastAsia="標楷體" w:hAnsi="標楷體" w:hint="eastAsia"/>
                <w:b/>
                <w:szCs w:val="24"/>
              </w:rPr>
              <w:t>建築</w:t>
            </w:r>
            <w:r w:rsidR="00545BB3" w:rsidRPr="00837B94">
              <w:rPr>
                <w:rFonts w:ascii="標楷體" w:eastAsia="標楷體" w:hAnsi="標楷體" w:hint="eastAsia"/>
                <w:b/>
                <w:szCs w:val="24"/>
              </w:rPr>
              <w:t>、設計、城市規劃</w:t>
            </w:r>
          </w:p>
        </w:tc>
        <w:tc>
          <w:tcPr>
            <w:tcW w:w="6854" w:type="dxa"/>
          </w:tcPr>
          <w:p w:rsidR="00CD2FC0" w:rsidRPr="00AD60D3" w:rsidRDefault="00DC3478" w:rsidP="00787EA1">
            <w:pPr>
              <w:pStyle w:val="a4"/>
              <w:numPr>
                <w:ilvl w:val="0"/>
                <w:numId w:val="18"/>
              </w:numPr>
              <w:ind w:leftChars="0"/>
              <w:jc w:val="both"/>
              <w:rPr>
                <w:rFonts w:ascii="標楷體" w:eastAsia="標楷體" w:hAnsi="標楷體"/>
              </w:rPr>
            </w:pPr>
            <w:r w:rsidRPr="00AD60D3">
              <w:rPr>
                <w:rFonts w:ascii="標楷體" w:eastAsia="標楷體" w:hAnsi="標楷體" w:hint="eastAsia"/>
              </w:rPr>
              <w:t>允許取得內地建築領域各專業資格</w:t>
            </w:r>
            <w:r w:rsidR="00787EA1" w:rsidRPr="00CA516A">
              <w:rPr>
                <w:rFonts w:ascii="標楷體" w:eastAsia="標楷體" w:hAnsi="標楷體" w:hint="eastAsia"/>
              </w:rPr>
              <w:t>，</w:t>
            </w:r>
            <w:r w:rsidR="00787EA1" w:rsidRPr="00787EA1">
              <w:rPr>
                <w:rFonts w:ascii="標楷體" w:eastAsia="標楷體" w:hAnsi="標楷體" w:hint="eastAsia"/>
              </w:rPr>
              <w:t>包括</w:t>
            </w:r>
            <w:r w:rsidRPr="00AD60D3">
              <w:rPr>
                <w:rFonts w:ascii="標楷體" w:eastAsia="標楷體" w:hAnsi="標楷體" w:hint="eastAsia"/>
              </w:rPr>
              <w:t>城市規劃師、監理工程師</w:t>
            </w:r>
            <w:r w:rsidR="00C11264" w:rsidRPr="00AD60D3">
              <w:rPr>
                <w:rFonts w:ascii="標楷體" w:eastAsia="標楷體" w:hAnsi="標楷體" w:hint="eastAsia"/>
              </w:rPr>
              <w:t>資格等</w:t>
            </w:r>
            <w:r w:rsidRPr="00AD60D3">
              <w:rPr>
                <w:rFonts w:ascii="標楷體" w:eastAsia="標楷體" w:hAnsi="標楷體" w:hint="eastAsia"/>
              </w:rPr>
              <w:t>的香港專業人士</w:t>
            </w:r>
            <w:r w:rsidR="00CD2FC0" w:rsidRPr="00AD60D3">
              <w:rPr>
                <w:rFonts w:ascii="標楷體" w:eastAsia="標楷體" w:hAnsi="標楷體" w:hint="eastAsia"/>
              </w:rPr>
              <w:t>試點</w:t>
            </w:r>
            <w:r w:rsidR="00F92A66" w:rsidRPr="00F92A66">
              <w:rPr>
                <w:rFonts w:ascii="標楷體" w:eastAsia="標楷體" w:hAnsi="標楷體" w:hint="eastAsia"/>
              </w:rPr>
              <w:t>註</w:t>
            </w:r>
            <w:r w:rsidR="00C11264" w:rsidRPr="00AD60D3">
              <w:rPr>
                <w:rFonts w:ascii="標楷體" w:eastAsia="標楷體" w:hAnsi="標楷體" w:hint="eastAsia"/>
              </w:rPr>
              <w:t>冊執業</w:t>
            </w:r>
            <w:r w:rsidR="00CD2FC0" w:rsidRPr="00AD60D3">
              <w:rPr>
                <w:rFonts w:ascii="標楷體" w:eastAsia="標楷體" w:hAnsi="標楷體" w:hint="eastAsia"/>
              </w:rPr>
              <w:t>範圍由廣東擴展至廣西及福建</w:t>
            </w:r>
            <w:r w:rsidR="00C11264" w:rsidRPr="00AD60D3">
              <w:rPr>
                <w:rFonts w:ascii="標楷體" w:eastAsia="標楷體" w:hAnsi="標楷體" w:hint="eastAsia"/>
              </w:rPr>
              <w:t>。</w:t>
            </w:r>
          </w:p>
          <w:p w:rsidR="00864B93" w:rsidRPr="00AD60D3" w:rsidRDefault="00864B93" w:rsidP="007B7CC6">
            <w:pPr>
              <w:jc w:val="both"/>
              <w:rPr>
                <w:rFonts w:ascii="標楷體" w:eastAsia="標楷體" w:hAnsi="標楷體"/>
              </w:rPr>
            </w:pPr>
          </w:p>
        </w:tc>
      </w:tr>
      <w:tr w:rsidR="00F05EAA" w:rsidRPr="002632F5" w:rsidTr="00CA516A">
        <w:tc>
          <w:tcPr>
            <w:tcW w:w="1560" w:type="dxa"/>
          </w:tcPr>
          <w:p w:rsidR="00F05EAA" w:rsidRPr="002632F5" w:rsidRDefault="00F05EAA" w:rsidP="003F760E">
            <w:pPr>
              <w:jc w:val="center"/>
              <w:rPr>
                <w:rFonts w:ascii="標楷體" w:eastAsia="標楷體" w:hAnsi="標楷體"/>
                <w:b/>
                <w:szCs w:val="24"/>
              </w:rPr>
            </w:pPr>
            <w:r w:rsidRPr="002632F5">
              <w:rPr>
                <w:rFonts w:ascii="標楷體" w:eastAsia="標楷體" w:hAnsi="標楷體" w:hint="eastAsia"/>
                <w:b/>
                <w:szCs w:val="24"/>
              </w:rPr>
              <w:t>保險</w:t>
            </w:r>
          </w:p>
        </w:tc>
        <w:tc>
          <w:tcPr>
            <w:tcW w:w="6854" w:type="dxa"/>
          </w:tcPr>
          <w:p w:rsidR="00D54143" w:rsidRDefault="00D54143" w:rsidP="007B7CC6">
            <w:pPr>
              <w:pStyle w:val="a4"/>
              <w:numPr>
                <w:ilvl w:val="0"/>
                <w:numId w:val="18"/>
              </w:numPr>
              <w:ind w:leftChars="0"/>
              <w:jc w:val="both"/>
              <w:rPr>
                <w:rFonts w:ascii="標楷體" w:eastAsia="標楷體" w:hAnsi="標楷體"/>
              </w:rPr>
            </w:pPr>
            <w:r w:rsidRPr="006D0578">
              <w:rPr>
                <w:rFonts w:ascii="標楷體" w:eastAsia="標楷體" w:hAnsi="標楷體" w:hint="eastAsia"/>
              </w:rPr>
              <w:t>鼓勵內地的保險公司以人民幣結算</w:t>
            </w:r>
            <w:proofErr w:type="gramStart"/>
            <w:r w:rsidRPr="006D0578">
              <w:rPr>
                <w:rFonts w:ascii="標楷體" w:eastAsia="標楷體" w:hAnsi="標楷體" w:hint="eastAsia"/>
              </w:rPr>
              <w:t>分保到香港</w:t>
            </w:r>
            <w:proofErr w:type="gramEnd"/>
            <w:r w:rsidRPr="006D0578">
              <w:rPr>
                <w:rFonts w:ascii="標楷體" w:eastAsia="標楷體" w:hAnsi="標楷體" w:hint="eastAsia"/>
              </w:rPr>
              <w:t>的保險或再保險公司。</w:t>
            </w:r>
          </w:p>
          <w:p w:rsidR="00D54143" w:rsidRDefault="00D54143" w:rsidP="007B7CC6">
            <w:pPr>
              <w:jc w:val="both"/>
              <w:rPr>
                <w:rFonts w:ascii="標楷體" w:eastAsia="標楷體" w:hAnsi="標楷體"/>
              </w:rPr>
            </w:pPr>
          </w:p>
          <w:p w:rsidR="00F05EAA" w:rsidRPr="00763858" w:rsidRDefault="00D54143" w:rsidP="007B7CC6">
            <w:pPr>
              <w:pStyle w:val="a4"/>
              <w:numPr>
                <w:ilvl w:val="0"/>
                <w:numId w:val="18"/>
              </w:numPr>
              <w:ind w:leftChars="0"/>
              <w:jc w:val="both"/>
              <w:rPr>
                <w:rFonts w:ascii="標楷體" w:eastAsia="標楷體" w:hAnsi="標楷體" w:cs="Times New Roman"/>
                <w:szCs w:val="20"/>
              </w:rPr>
            </w:pPr>
            <w:r>
              <w:rPr>
                <w:rFonts w:ascii="標楷體" w:eastAsia="標楷體" w:hAnsi="標楷體" w:hint="eastAsia"/>
              </w:rPr>
              <w:t>允許</w:t>
            </w:r>
            <w:r w:rsidRPr="006D0578">
              <w:rPr>
                <w:rFonts w:ascii="標楷體" w:eastAsia="標楷體" w:hAnsi="標楷體" w:hint="eastAsia"/>
              </w:rPr>
              <w:t>香港的保險經紀公司</w:t>
            </w:r>
            <w:r>
              <w:rPr>
                <w:rFonts w:ascii="標楷體" w:eastAsia="標楷體" w:hAnsi="標楷體" w:hint="eastAsia"/>
              </w:rPr>
              <w:t>按照</w:t>
            </w:r>
            <w:r w:rsidRPr="00EB4404">
              <w:rPr>
                <w:rFonts w:ascii="標楷體" w:eastAsia="標楷體" w:hAnsi="標楷體" w:hint="eastAsia"/>
              </w:rPr>
              <w:t>現時</w:t>
            </w:r>
            <w:r>
              <w:rPr>
                <w:rFonts w:ascii="標楷體" w:eastAsia="標楷體" w:hAnsi="標楷體" w:hint="eastAsia"/>
              </w:rPr>
              <w:t>在</w:t>
            </w:r>
            <w:r w:rsidRPr="00D77C87">
              <w:rPr>
                <w:rFonts w:ascii="標楷體" w:eastAsia="標楷體" w:hAnsi="標楷體" w:hint="eastAsia"/>
              </w:rPr>
              <w:t>廣東</w:t>
            </w:r>
            <w:r>
              <w:rPr>
                <w:rFonts w:ascii="標楷體" w:eastAsia="標楷體" w:hAnsi="標楷體" w:hint="eastAsia"/>
              </w:rPr>
              <w:t>(</w:t>
            </w:r>
            <w:r w:rsidRPr="00D77C87">
              <w:rPr>
                <w:rFonts w:ascii="標楷體" w:eastAsia="標楷體" w:hAnsi="標楷體" w:hint="eastAsia"/>
              </w:rPr>
              <w:t>含深圳</w:t>
            </w:r>
            <w:proofErr w:type="gramStart"/>
            <w:r>
              <w:rPr>
                <w:rFonts w:ascii="標楷體" w:eastAsia="標楷體" w:hAnsi="標楷體"/>
              </w:rPr>
              <w:t>）</w:t>
            </w:r>
            <w:proofErr w:type="gramEnd"/>
            <w:r w:rsidRPr="00D77C87">
              <w:rPr>
                <w:rFonts w:ascii="標楷體" w:eastAsia="標楷體" w:hAnsi="標楷體" w:hint="eastAsia"/>
              </w:rPr>
              <w:t>設立獨資保險代理公司</w:t>
            </w:r>
            <w:r>
              <w:rPr>
                <w:rFonts w:ascii="標楷體" w:eastAsia="標楷體" w:hAnsi="標楷體" w:hint="eastAsia"/>
              </w:rPr>
              <w:t>的相同條件在內地全境設立獨資保險代理公司。</w:t>
            </w:r>
          </w:p>
          <w:p w:rsidR="00D54143" w:rsidRPr="00F92A66" w:rsidRDefault="00D54143" w:rsidP="007B7CC6">
            <w:pPr>
              <w:jc w:val="both"/>
              <w:rPr>
                <w:rFonts w:ascii="標楷體" w:eastAsia="標楷體" w:hAnsi="標楷體"/>
              </w:rPr>
            </w:pPr>
          </w:p>
        </w:tc>
      </w:tr>
      <w:tr w:rsidR="00CD2FC0" w:rsidRPr="005F13A6" w:rsidTr="00CA516A">
        <w:tc>
          <w:tcPr>
            <w:tcW w:w="1560" w:type="dxa"/>
          </w:tcPr>
          <w:p w:rsidR="00CD2FC0" w:rsidRPr="00832BA8" w:rsidRDefault="00CD2FC0" w:rsidP="009D5C01">
            <w:pPr>
              <w:jc w:val="center"/>
              <w:rPr>
                <w:rFonts w:ascii="標楷體" w:eastAsia="標楷體" w:hAnsi="標楷體"/>
                <w:b/>
                <w:szCs w:val="24"/>
              </w:rPr>
            </w:pPr>
            <w:r w:rsidRPr="00832BA8">
              <w:rPr>
                <w:rFonts w:ascii="標楷體" w:eastAsia="標楷體" w:hAnsi="標楷體" w:hint="eastAsia"/>
                <w:b/>
                <w:szCs w:val="24"/>
              </w:rPr>
              <w:t>證券</w:t>
            </w:r>
          </w:p>
        </w:tc>
        <w:tc>
          <w:tcPr>
            <w:tcW w:w="6854" w:type="dxa"/>
          </w:tcPr>
          <w:p w:rsidR="00D54143" w:rsidRDefault="00D54143" w:rsidP="007B7CC6">
            <w:pPr>
              <w:pStyle w:val="a4"/>
              <w:numPr>
                <w:ilvl w:val="0"/>
                <w:numId w:val="18"/>
              </w:numPr>
              <w:ind w:leftChars="0"/>
              <w:jc w:val="both"/>
              <w:rPr>
                <w:rFonts w:ascii="標楷體" w:eastAsia="標楷體" w:hAnsi="標楷體"/>
              </w:rPr>
            </w:pPr>
            <w:r>
              <w:rPr>
                <w:rFonts w:ascii="標楷體" w:eastAsia="標楷體" w:hAnsi="標楷體" w:hint="eastAsia"/>
              </w:rPr>
              <w:t>港資金融機構</w:t>
            </w:r>
            <w:r w:rsidR="00E341AB" w:rsidRPr="00E176BE">
              <w:rPr>
                <w:rFonts w:ascii="標楷體" w:eastAsia="標楷體" w:hAnsi="標楷體" w:hint="eastAsia"/>
                <w:lang w:eastAsia="zh-HK"/>
              </w:rPr>
              <w:t>可以</w:t>
            </w:r>
            <w:r>
              <w:rPr>
                <w:rFonts w:ascii="標楷體" w:eastAsia="標楷體" w:hAnsi="標楷體" w:hint="eastAsia"/>
              </w:rPr>
              <w:t>入股兩地合資證券/證券投資諮詢/期貨公司的數</w:t>
            </w:r>
            <w:r w:rsidR="00E341AB" w:rsidRPr="00E176BE">
              <w:rPr>
                <w:rFonts w:ascii="標楷體" w:eastAsia="標楷體" w:hAnsi="標楷體" w:hint="eastAsia"/>
              </w:rPr>
              <w:t>目為</w:t>
            </w:r>
            <w:r>
              <w:rPr>
                <w:rFonts w:ascii="標楷體" w:eastAsia="標楷體" w:hAnsi="標楷體" w:hint="eastAsia"/>
              </w:rPr>
              <w:t>“</w:t>
            </w:r>
            <w:r w:rsidRPr="00D872F5">
              <w:rPr>
                <w:rFonts w:ascii="標楷體" w:eastAsia="標楷體" w:hAnsi="標楷體" w:hint="eastAsia"/>
              </w:rPr>
              <w:t>參</w:t>
            </w:r>
            <w:proofErr w:type="gramStart"/>
            <w:r w:rsidRPr="00D872F5">
              <w:rPr>
                <w:rFonts w:ascii="標楷體" w:eastAsia="標楷體" w:hAnsi="標楷體" w:hint="eastAsia"/>
              </w:rPr>
              <w:t>一</w:t>
            </w:r>
            <w:proofErr w:type="gramEnd"/>
            <w:r w:rsidRPr="00D872F5">
              <w:rPr>
                <w:rFonts w:ascii="標楷體" w:eastAsia="標楷體" w:hAnsi="標楷體" w:hint="eastAsia"/>
              </w:rPr>
              <w:t>控</w:t>
            </w:r>
            <w:proofErr w:type="gramStart"/>
            <w:r w:rsidRPr="00D872F5">
              <w:rPr>
                <w:rFonts w:ascii="標楷體" w:eastAsia="標楷體" w:hAnsi="標楷體" w:hint="eastAsia"/>
              </w:rPr>
              <w:t>一</w:t>
            </w:r>
            <w:proofErr w:type="gramEnd"/>
            <w:r w:rsidRPr="00D872F5">
              <w:rPr>
                <w:rFonts w:ascii="標楷體" w:eastAsia="標楷體" w:hAnsi="標楷體" w:hint="eastAsia"/>
              </w:rPr>
              <w:t>＂。</w:t>
            </w:r>
          </w:p>
          <w:p w:rsidR="00D54143" w:rsidRPr="00E341AB" w:rsidRDefault="00D54143" w:rsidP="007B7CC6">
            <w:pPr>
              <w:jc w:val="both"/>
              <w:rPr>
                <w:rFonts w:ascii="標楷體" w:eastAsia="標楷體" w:hAnsi="標楷體"/>
              </w:rPr>
            </w:pPr>
          </w:p>
          <w:p w:rsidR="0031083C" w:rsidRPr="00896039" w:rsidRDefault="0031083C" w:rsidP="007B7CC6">
            <w:pPr>
              <w:pStyle w:val="a4"/>
              <w:numPr>
                <w:ilvl w:val="0"/>
                <w:numId w:val="18"/>
              </w:numPr>
              <w:ind w:leftChars="0"/>
              <w:jc w:val="both"/>
              <w:rPr>
                <w:rFonts w:ascii="標楷體" w:eastAsia="標楷體" w:hAnsi="標楷體"/>
              </w:rPr>
            </w:pPr>
            <w:r w:rsidRPr="00896039">
              <w:rPr>
                <w:rFonts w:ascii="標楷體" w:eastAsia="標楷體" w:hAnsi="標楷體" w:hint="eastAsia"/>
              </w:rPr>
              <w:t>研究推動符合條件的香港公司在內地交易所市場發行人民幣債券。</w:t>
            </w:r>
          </w:p>
          <w:p w:rsidR="00CA516A" w:rsidRPr="00F92A66" w:rsidRDefault="00CA516A" w:rsidP="007B7CC6">
            <w:pPr>
              <w:jc w:val="both"/>
              <w:rPr>
                <w:rFonts w:ascii="標楷體" w:eastAsia="標楷體" w:hAnsi="標楷體"/>
                <w:lang w:eastAsia="zh-HK"/>
              </w:rPr>
            </w:pPr>
          </w:p>
        </w:tc>
      </w:tr>
      <w:tr w:rsidR="00F05EAA" w:rsidRPr="005F13A6" w:rsidTr="00CA516A">
        <w:tc>
          <w:tcPr>
            <w:tcW w:w="1560" w:type="dxa"/>
          </w:tcPr>
          <w:p w:rsidR="00F05EAA" w:rsidRPr="00B97153" w:rsidRDefault="00F05EAA" w:rsidP="003F760E">
            <w:pPr>
              <w:jc w:val="center"/>
              <w:rPr>
                <w:rFonts w:ascii="標楷體" w:eastAsia="標楷體" w:hAnsi="標楷體"/>
                <w:b/>
                <w:szCs w:val="24"/>
              </w:rPr>
            </w:pPr>
            <w:r>
              <w:rPr>
                <w:rFonts w:ascii="標楷體" w:eastAsia="標楷體" w:hAnsi="標楷體" w:hint="eastAsia"/>
                <w:b/>
                <w:szCs w:val="24"/>
              </w:rPr>
              <w:t>銀行</w:t>
            </w:r>
          </w:p>
        </w:tc>
        <w:tc>
          <w:tcPr>
            <w:tcW w:w="6854" w:type="dxa"/>
          </w:tcPr>
          <w:p w:rsidR="00A64BEC" w:rsidRPr="00F92A66" w:rsidRDefault="00A64BEC" w:rsidP="007B7CC6">
            <w:pPr>
              <w:numPr>
                <w:ilvl w:val="0"/>
                <w:numId w:val="14"/>
              </w:numPr>
              <w:snapToGrid w:val="0"/>
              <w:ind w:left="480"/>
              <w:jc w:val="both"/>
              <w:rPr>
                <w:rFonts w:ascii="標楷體" w:eastAsia="標楷體" w:hAnsi="標楷體"/>
                <w:szCs w:val="24"/>
              </w:rPr>
            </w:pPr>
            <w:r w:rsidRPr="00F92A66">
              <w:rPr>
                <w:rFonts w:ascii="標楷體" w:eastAsia="標楷體" w:hAnsi="標楷體" w:hint="eastAsia"/>
                <w:szCs w:val="24"/>
              </w:rPr>
              <w:t>取消</w:t>
            </w:r>
            <w:r w:rsidR="005252BE">
              <w:rPr>
                <w:rFonts w:ascii="標楷體" w:eastAsia="標楷體" w:hAnsi="標楷體" w:hint="eastAsia"/>
                <w:szCs w:val="24"/>
                <w:lang w:val="en-GB"/>
              </w:rPr>
              <w:t>香港銀行</w:t>
            </w:r>
            <w:r w:rsidRPr="00F92A66">
              <w:rPr>
                <w:rFonts w:ascii="標楷體" w:eastAsia="標楷體" w:hAnsi="標楷體" w:hint="eastAsia"/>
                <w:szCs w:val="24"/>
              </w:rPr>
              <w:t>在</w:t>
            </w:r>
            <w:r w:rsidR="005252BE">
              <w:rPr>
                <w:rFonts w:ascii="標楷體" w:eastAsia="標楷體" w:hAnsi="標楷體" w:hint="eastAsia"/>
                <w:szCs w:val="24"/>
              </w:rPr>
              <w:t>內地</w:t>
            </w:r>
            <w:r w:rsidRPr="00F92A66">
              <w:rPr>
                <w:rFonts w:ascii="標楷體" w:eastAsia="標楷體" w:hAnsi="標楷體" w:hint="eastAsia"/>
                <w:szCs w:val="24"/>
              </w:rPr>
              <w:t>設立的外資銀行營業性機構經營人民幣業務須滿足的最低開業年限要求</w:t>
            </w:r>
            <w:r w:rsidR="00305600" w:rsidRPr="00F92A66">
              <w:rPr>
                <w:rFonts w:ascii="標楷體" w:eastAsia="標楷體" w:hAnsi="標楷體" w:hint="eastAsia"/>
                <w:szCs w:val="24"/>
              </w:rPr>
              <w:t>。</w:t>
            </w:r>
          </w:p>
          <w:p w:rsidR="00A64BEC" w:rsidRPr="00F92A66" w:rsidRDefault="00A64BEC" w:rsidP="007B7CC6">
            <w:pPr>
              <w:snapToGrid w:val="0"/>
              <w:jc w:val="both"/>
              <w:rPr>
                <w:rFonts w:ascii="標楷體" w:eastAsia="標楷體" w:hAnsi="標楷體"/>
                <w:szCs w:val="24"/>
              </w:rPr>
            </w:pPr>
          </w:p>
          <w:p w:rsidR="00A64BEC" w:rsidRPr="00F92A66" w:rsidRDefault="00A64BEC" w:rsidP="007B7CC6">
            <w:pPr>
              <w:numPr>
                <w:ilvl w:val="0"/>
                <w:numId w:val="14"/>
              </w:numPr>
              <w:snapToGrid w:val="0"/>
              <w:ind w:left="480"/>
              <w:jc w:val="both"/>
              <w:rPr>
                <w:rFonts w:ascii="標楷體" w:eastAsia="標楷體" w:hAnsi="標楷體"/>
                <w:szCs w:val="24"/>
              </w:rPr>
            </w:pPr>
            <w:r w:rsidRPr="00F92A66">
              <w:rPr>
                <w:rFonts w:ascii="標楷體" w:eastAsia="標楷體" w:hAnsi="標楷體" w:hint="eastAsia"/>
                <w:szCs w:val="24"/>
              </w:rPr>
              <w:t>原則上統一香港銀行在</w:t>
            </w:r>
            <w:r w:rsidR="00F77065" w:rsidRPr="00F92A66">
              <w:rPr>
                <w:rFonts w:ascii="標楷體" w:eastAsia="標楷體" w:hAnsi="標楷體" w:hint="eastAsia"/>
                <w:szCs w:val="24"/>
              </w:rPr>
              <w:t>內地</w:t>
            </w:r>
            <w:r w:rsidRPr="00F92A66">
              <w:rPr>
                <w:rFonts w:ascii="標楷體" w:eastAsia="標楷體" w:hAnsi="標楷體" w:hint="eastAsia"/>
                <w:szCs w:val="24"/>
              </w:rPr>
              <w:t>設立的外資法人銀行與內地商業銀行的業務範圍。</w:t>
            </w:r>
          </w:p>
          <w:p w:rsidR="00F05EAA" w:rsidRPr="00A64BEC" w:rsidRDefault="00F05EAA" w:rsidP="007B7CC6">
            <w:pPr>
              <w:snapToGrid w:val="0"/>
              <w:jc w:val="both"/>
              <w:rPr>
                <w:rFonts w:ascii="標楷體" w:eastAsia="標楷體" w:hAnsi="標楷體"/>
                <w:szCs w:val="24"/>
              </w:rPr>
            </w:pPr>
          </w:p>
        </w:tc>
      </w:tr>
      <w:tr w:rsidR="007A5CCB" w:rsidRPr="005F13A6" w:rsidTr="00CA516A">
        <w:tc>
          <w:tcPr>
            <w:tcW w:w="1560" w:type="dxa"/>
          </w:tcPr>
          <w:p w:rsidR="007A5CCB" w:rsidRPr="002632F5" w:rsidRDefault="007A5CCB" w:rsidP="005220DB">
            <w:pPr>
              <w:jc w:val="center"/>
              <w:rPr>
                <w:rFonts w:ascii="標楷體" w:eastAsia="SimSun" w:hAnsi="標楷體"/>
                <w:b/>
                <w:szCs w:val="24"/>
                <w:lang w:eastAsia="zh-CN"/>
              </w:rPr>
            </w:pPr>
            <w:r w:rsidRPr="00F92A66">
              <w:rPr>
                <w:rFonts w:ascii="標楷體" w:eastAsia="標楷體" w:hAnsi="標楷體" w:hint="eastAsia"/>
                <w:b/>
                <w:szCs w:val="24"/>
              </w:rPr>
              <w:lastRenderedPageBreak/>
              <w:t>運輸</w:t>
            </w:r>
          </w:p>
        </w:tc>
        <w:tc>
          <w:tcPr>
            <w:tcW w:w="6854" w:type="dxa"/>
          </w:tcPr>
          <w:p w:rsidR="007A5CCB" w:rsidRDefault="007A5CCB" w:rsidP="007B7CC6">
            <w:pPr>
              <w:pStyle w:val="a4"/>
              <w:numPr>
                <w:ilvl w:val="0"/>
                <w:numId w:val="18"/>
              </w:numPr>
              <w:adjustRightInd w:val="0"/>
              <w:snapToGrid w:val="0"/>
              <w:ind w:leftChars="0"/>
              <w:jc w:val="both"/>
              <w:rPr>
                <w:rFonts w:ascii="標楷體" w:eastAsia="標楷體" w:hAnsi="標楷體"/>
              </w:rPr>
            </w:pPr>
            <w:r w:rsidRPr="00CA516A">
              <w:rPr>
                <w:rFonts w:ascii="標楷體" w:eastAsia="標楷體" w:hAnsi="標楷體" w:hint="eastAsia"/>
              </w:rPr>
              <w:t>允許香港的航空公司在內地的辦公地點或通過官方網站自行銷售機票及酒店套票，無需通過內地銷售代理。</w:t>
            </w:r>
          </w:p>
          <w:p w:rsidR="007A5CCB" w:rsidRDefault="007A5CCB" w:rsidP="007B7CC6">
            <w:pPr>
              <w:adjustRightInd w:val="0"/>
              <w:snapToGrid w:val="0"/>
              <w:jc w:val="both"/>
              <w:rPr>
                <w:rFonts w:ascii="標楷體" w:eastAsia="標楷體" w:hAnsi="標楷體"/>
              </w:rPr>
            </w:pPr>
          </w:p>
          <w:p w:rsidR="007A5CCB" w:rsidRDefault="007A5CCB" w:rsidP="007B7CC6">
            <w:pPr>
              <w:pStyle w:val="a4"/>
              <w:numPr>
                <w:ilvl w:val="0"/>
                <w:numId w:val="18"/>
              </w:numPr>
              <w:adjustRightInd w:val="0"/>
              <w:snapToGrid w:val="0"/>
              <w:ind w:leftChars="0"/>
              <w:jc w:val="both"/>
              <w:rPr>
                <w:rFonts w:ascii="標楷體" w:eastAsia="標楷體" w:hAnsi="標楷體"/>
              </w:rPr>
            </w:pPr>
            <w:r w:rsidRPr="00DA0C3C">
              <w:rPr>
                <w:rFonts w:ascii="標楷體" w:eastAsia="標楷體" w:hAnsi="標楷體" w:hint="eastAsia"/>
              </w:rPr>
              <w:t>可獨資提供航空運輸地面服務</w:t>
            </w:r>
            <w:r>
              <w:rPr>
                <w:rFonts w:ascii="標楷體" w:eastAsia="標楷體" w:hAnsi="標楷體" w:hint="eastAsia"/>
              </w:rPr>
              <w:t>，但</w:t>
            </w:r>
            <w:r w:rsidRPr="00DA0C3C">
              <w:rPr>
                <w:rFonts w:ascii="標楷體" w:eastAsia="標楷體" w:hAnsi="標楷體" w:hint="eastAsia"/>
              </w:rPr>
              <w:t>不包括與安保有關的項目。</w:t>
            </w:r>
          </w:p>
          <w:p w:rsidR="007A5CCB" w:rsidRPr="00F05EAA" w:rsidRDefault="007A5CCB" w:rsidP="007B7CC6">
            <w:pPr>
              <w:jc w:val="both"/>
              <w:rPr>
                <w:rFonts w:ascii="標楷體" w:eastAsia="標楷體" w:hAnsi="標楷體"/>
                <w:lang w:eastAsia="zh-HK"/>
              </w:rPr>
            </w:pPr>
          </w:p>
        </w:tc>
      </w:tr>
      <w:tr w:rsidR="0031318D" w:rsidRPr="005F13A6" w:rsidTr="00CA516A">
        <w:tc>
          <w:tcPr>
            <w:tcW w:w="1560" w:type="dxa"/>
          </w:tcPr>
          <w:p w:rsidR="0031318D" w:rsidRPr="002632F5" w:rsidRDefault="0031318D" w:rsidP="0080119F">
            <w:pPr>
              <w:jc w:val="center"/>
              <w:rPr>
                <w:rFonts w:ascii="標楷體" w:eastAsia="標楷體" w:hAnsi="標楷體"/>
                <w:b/>
                <w:szCs w:val="24"/>
                <w:lang w:eastAsia="zh-HK"/>
              </w:rPr>
            </w:pPr>
            <w:r w:rsidRPr="00837B94">
              <w:rPr>
                <w:rFonts w:ascii="標楷體" w:eastAsia="標楷體" w:hAnsi="標楷體" w:hint="eastAsia"/>
                <w:b/>
                <w:szCs w:val="24"/>
              </w:rPr>
              <w:t>電</w:t>
            </w:r>
            <w:r w:rsidR="0080119F" w:rsidRPr="0080119F">
              <w:rPr>
                <w:rFonts w:ascii="標楷體" w:eastAsia="標楷體" w:hAnsi="標楷體" w:hint="eastAsia"/>
                <w:b/>
                <w:szCs w:val="24"/>
              </w:rPr>
              <w:t>信</w:t>
            </w:r>
          </w:p>
        </w:tc>
        <w:tc>
          <w:tcPr>
            <w:tcW w:w="6854" w:type="dxa"/>
          </w:tcPr>
          <w:p w:rsidR="0031318D" w:rsidRDefault="0031318D" w:rsidP="007B7CC6">
            <w:pPr>
              <w:pStyle w:val="a4"/>
              <w:numPr>
                <w:ilvl w:val="0"/>
                <w:numId w:val="18"/>
              </w:numPr>
              <w:ind w:leftChars="0"/>
              <w:jc w:val="both"/>
              <w:rPr>
                <w:rFonts w:ascii="標楷體" w:eastAsia="標楷體" w:hAnsi="標楷體"/>
              </w:rPr>
            </w:pPr>
            <w:r w:rsidRPr="00AE70BC">
              <w:rPr>
                <w:rFonts w:ascii="標楷體" w:eastAsia="標楷體" w:hAnsi="標楷體" w:hint="eastAsia"/>
              </w:rPr>
              <w:t>允許香港服務提供者在內地設立合資或獨資企業，提供</w:t>
            </w:r>
            <w:r w:rsidR="00837B94" w:rsidRPr="00BE6316">
              <w:rPr>
                <w:rFonts w:ascii="標楷體" w:eastAsia="標楷體" w:hAnsi="標楷體" w:hint="eastAsia"/>
              </w:rPr>
              <w:t>在線數據處理與交易處理業務（僅限於經營性電子商務網站</w:t>
            </w:r>
            <w:r w:rsidR="00837B94">
              <w:rPr>
                <w:rFonts w:ascii="標楷體" w:eastAsia="標楷體" w:hAnsi="標楷體"/>
              </w:rPr>
              <w:t>）</w:t>
            </w:r>
            <w:r w:rsidR="00837B94" w:rsidRPr="00AE70BC">
              <w:rPr>
                <w:rFonts w:ascii="標楷體" w:eastAsia="標楷體" w:hAnsi="標楷體" w:hint="eastAsia"/>
              </w:rPr>
              <w:t>、</w:t>
            </w:r>
            <w:r w:rsidRPr="00AE70BC">
              <w:rPr>
                <w:rFonts w:ascii="標楷體" w:eastAsia="標楷體" w:hAnsi="標楷體" w:hint="eastAsia"/>
              </w:rPr>
              <w:t>內地境內多方通</w:t>
            </w:r>
            <w:r w:rsidR="00837B94">
              <w:rPr>
                <w:rFonts w:ascii="標楷體" w:eastAsia="標楷體" w:hAnsi="標楷體" w:hint="eastAsia"/>
              </w:rPr>
              <w:t>訊服務</w:t>
            </w:r>
            <w:r w:rsidRPr="00AE70BC">
              <w:rPr>
                <w:rFonts w:ascii="標楷體" w:eastAsia="標楷體" w:hAnsi="標楷體" w:hint="eastAsia"/>
              </w:rPr>
              <w:t>業務、存儲轉發類業務、呼叫中心業務、因</w:t>
            </w:r>
            <w:proofErr w:type="gramStart"/>
            <w:r w:rsidRPr="00AE70BC">
              <w:rPr>
                <w:rFonts w:ascii="標楷體" w:eastAsia="標楷體" w:hAnsi="標楷體" w:hint="eastAsia"/>
              </w:rPr>
              <w:t>特</w:t>
            </w:r>
            <w:proofErr w:type="gramEnd"/>
            <w:r w:rsidRPr="00AE70BC">
              <w:rPr>
                <w:rFonts w:ascii="標楷體" w:eastAsia="標楷體" w:hAnsi="標楷體" w:hint="eastAsia"/>
              </w:rPr>
              <w:t>網接入服務業務</w:t>
            </w:r>
            <w:proofErr w:type="gramStart"/>
            <w:r w:rsidRPr="00AE70BC">
              <w:rPr>
                <w:rFonts w:ascii="標楷體" w:eastAsia="標楷體" w:hAnsi="標楷體" w:hint="eastAsia"/>
              </w:rPr>
              <w:t>（</w:t>
            </w:r>
            <w:proofErr w:type="gramEnd"/>
            <w:r w:rsidR="00837B94">
              <w:rPr>
                <w:rFonts w:ascii="標楷體" w:eastAsia="標楷體" w:hAnsi="標楷體" w:hint="eastAsia"/>
              </w:rPr>
              <w:t>僅限於</w:t>
            </w:r>
            <w:r w:rsidR="00837B94" w:rsidRPr="00AE70BC">
              <w:rPr>
                <w:rFonts w:ascii="標楷體" w:eastAsia="標楷體" w:hAnsi="標楷體" w:hint="eastAsia"/>
              </w:rPr>
              <w:t>爲上網用戶提供因特網接入服務</w:t>
            </w:r>
            <w:r w:rsidRPr="00AE70BC">
              <w:rPr>
                <w:rFonts w:ascii="標楷體" w:eastAsia="標楷體" w:hAnsi="標楷體" w:hint="eastAsia"/>
              </w:rPr>
              <w:t>）、信息服務業務（</w:t>
            </w:r>
            <w:r w:rsidR="00837B94" w:rsidRPr="00BE6316">
              <w:rPr>
                <w:rFonts w:ascii="標楷體" w:eastAsia="標楷體" w:hAnsi="標楷體" w:hint="eastAsia"/>
              </w:rPr>
              <w:t>僅限於</w:t>
            </w:r>
            <w:r w:rsidRPr="00AE70BC">
              <w:rPr>
                <w:rFonts w:ascii="標楷體" w:eastAsia="標楷體" w:hAnsi="標楷體" w:hint="eastAsia"/>
              </w:rPr>
              <w:t>應用商店），對</w:t>
            </w:r>
            <w:r w:rsidR="00985D31">
              <w:rPr>
                <w:rFonts w:ascii="標楷體" w:eastAsia="標楷體" w:hAnsi="標楷體" w:hint="eastAsia"/>
              </w:rPr>
              <w:t>港資</w:t>
            </w:r>
            <w:r w:rsidRPr="00AE70BC">
              <w:rPr>
                <w:rFonts w:ascii="標楷體" w:eastAsia="標楷體" w:hAnsi="標楷體" w:hint="eastAsia"/>
              </w:rPr>
              <w:t>股權比例不設限制。</w:t>
            </w:r>
          </w:p>
          <w:p w:rsidR="0031318D" w:rsidRPr="000B2022" w:rsidRDefault="0031318D" w:rsidP="007B7CC6">
            <w:pPr>
              <w:jc w:val="both"/>
              <w:rPr>
                <w:rFonts w:ascii="標楷體" w:eastAsia="標楷體" w:hAnsi="標楷體"/>
              </w:rPr>
            </w:pPr>
          </w:p>
        </w:tc>
      </w:tr>
      <w:tr w:rsidR="00CA516A" w:rsidRPr="005F13A6" w:rsidTr="00CA516A">
        <w:tc>
          <w:tcPr>
            <w:tcW w:w="1560" w:type="dxa"/>
          </w:tcPr>
          <w:p w:rsidR="00605BCB" w:rsidRPr="00F92A66" w:rsidRDefault="001F143F" w:rsidP="00953913">
            <w:pPr>
              <w:jc w:val="center"/>
              <w:rPr>
                <w:rFonts w:ascii="標楷體" w:eastAsia="標楷體" w:hAnsi="標楷體"/>
                <w:b/>
                <w:szCs w:val="24"/>
                <w:lang w:eastAsia="zh-HK"/>
              </w:rPr>
            </w:pPr>
            <w:r>
              <w:rPr>
                <w:rFonts w:ascii="標楷體" w:eastAsia="標楷體" w:hAnsi="標楷體" w:hint="eastAsia"/>
                <w:b/>
                <w:szCs w:val="24"/>
                <w:lang w:eastAsia="zh-HK"/>
              </w:rPr>
              <w:t>文</w:t>
            </w:r>
            <w:r w:rsidR="00605BCB" w:rsidRPr="00F92A66">
              <w:rPr>
                <w:rFonts w:ascii="標楷體" w:eastAsia="標楷體" w:hAnsi="標楷體" w:hint="eastAsia"/>
                <w:b/>
                <w:szCs w:val="24"/>
                <w:lang w:eastAsia="zh-HK"/>
              </w:rPr>
              <w:t>化及</w:t>
            </w:r>
          </w:p>
          <w:p w:rsidR="00CA516A" w:rsidRPr="00B308EA" w:rsidRDefault="009656FF" w:rsidP="00953913">
            <w:pPr>
              <w:jc w:val="center"/>
              <w:rPr>
                <w:rFonts w:ascii="標楷體" w:eastAsia="標楷體" w:hAnsi="標楷體"/>
                <w:b/>
                <w:szCs w:val="24"/>
              </w:rPr>
            </w:pPr>
            <w:r w:rsidRPr="00F92A66">
              <w:rPr>
                <w:rFonts w:ascii="標楷體" w:eastAsia="標楷體" w:hAnsi="標楷體" w:hint="eastAsia"/>
                <w:b/>
                <w:szCs w:val="24"/>
                <w:lang w:eastAsia="zh-HK"/>
              </w:rPr>
              <w:t>娛</w:t>
            </w:r>
            <w:r w:rsidR="00605BCB" w:rsidRPr="00F92A66">
              <w:rPr>
                <w:rFonts w:ascii="標楷體" w:eastAsia="標楷體" w:hAnsi="標楷體" w:hint="eastAsia"/>
                <w:b/>
                <w:szCs w:val="24"/>
                <w:lang w:eastAsia="zh-HK"/>
              </w:rPr>
              <w:t>樂</w:t>
            </w:r>
          </w:p>
        </w:tc>
        <w:tc>
          <w:tcPr>
            <w:tcW w:w="6854" w:type="dxa"/>
          </w:tcPr>
          <w:p w:rsidR="000B2022" w:rsidRDefault="000B2022" w:rsidP="007B7CC6">
            <w:pPr>
              <w:pStyle w:val="a4"/>
              <w:numPr>
                <w:ilvl w:val="0"/>
                <w:numId w:val="18"/>
              </w:numPr>
              <w:ind w:leftChars="0"/>
              <w:jc w:val="both"/>
              <w:rPr>
                <w:rFonts w:ascii="標楷體" w:eastAsia="標楷體" w:hAnsi="標楷體"/>
              </w:rPr>
            </w:pPr>
            <w:r w:rsidRPr="00537B5C">
              <w:rPr>
                <w:rFonts w:ascii="標楷體" w:eastAsia="標楷體" w:hAnsi="標楷體" w:hint="eastAsia"/>
              </w:rPr>
              <w:t>對於同一香港服務提供者在內地累計開設店鋪超過</w:t>
            </w:r>
            <w:r w:rsidRPr="00537B5C">
              <w:rPr>
                <w:rFonts w:ascii="標楷體" w:eastAsia="標楷體" w:hAnsi="標楷體"/>
              </w:rPr>
              <w:t>30</w:t>
            </w:r>
            <w:r w:rsidRPr="00537B5C">
              <w:rPr>
                <w:rFonts w:ascii="標楷體" w:eastAsia="標楷體" w:hAnsi="標楷體" w:hint="eastAsia"/>
              </w:rPr>
              <w:t>家的，如經營商品包括圖書、報紙、雜誌等商品，且上述商品屬於不</w:t>
            </w:r>
            <w:r w:rsidRPr="00537B5C">
              <w:rPr>
                <w:rFonts w:ascii="標楷體" w:eastAsia="標楷體" w:hAnsi="標楷體"/>
              </w:rPr>
              <w:t>同品牌，來自不同供應商的，允許香港服務提供者以獨資、合資形式從事</w:t>
            </w:r>
            <w:r w:rsidRPr="00537B5C">
              <w:rPr>
                <w:rFonts w:ascii="標楷體" w:eastAsia="標楷體" w:hAnsi="標楷體" w:hint="eastAsia"/>
              </w:rPr>
              <w:t>圖書、報紙、雜誌的零售服務。</w:t>
            </w:r>
          </w:p>
          <w:p w:rsidR="009656FF" w:rsidRPr="009656FF" w:rsidRDefault="009656FF" w:rsidP="007B7CC6">
            <w:pPr>
              <w:jc w:val="both"/>
              <w:rPr>
                <w:rFonts w:ascii="標楷體" w:eastAsia="標楷體" w:hAnsi="標楷體"/>
              </w:rPr>
            </w:pPr>
          </w:p>
          <w:p w:rsidR="009656FF" w:rsidRPr="00CA516A" w:rsidRDefault="009656FF" w:rsidP="007B7CC6">
            <w:pPr>
              <w:pStyle w:val="a4"/>
              <w:numPr>
                <w:ilvl w:val="0"/>
                <w:numId w:val="18"/>
              </w:numPr>
              <w:adjustRightInd w:val="0"/>
              <w:snapToGrid w:val="0"/>
              <w:ind w:leftChars="0"/>
              <w:jc w:val="both"/>
              <w:rPr>
                <w:rFonts w:ascii="標楷體" w:eastAsia="標楷體" w:hAnsi="標楷體"/>
              </w:rPr>
            </w:pPr>
            <w:r w:rsidRPr="00CA516A">
              <w:rPr>
                <w:rFonts w:ascii="標楷體" w:eastAsia="標楷體" w:hAnsi="標楷體" w:hint="eastAsia"/>
              </w:rPr>
              <w:t>允許在廣東獨資設立娛樂場所。</w:t>
            </w:r>
          </w:p>
          <w:p w:rsidR="009656FF" w:rsidRPr="00CA516A" w:rsidRDefault="009656FF" w:rsidP="007B7CC6">
            <w:pPr>
              <w:adjustRightInd w:val="0"/>
              <w:snapToGrid w:val="0"/>
              <w:jc w:val="both"/>
              <w:rPr>
                <w:rFonts w:ascii="標楷體" w:eastAsia="標楷體" w:hAnsi="標楷體"/>
              </w:rPr>
            </w:pPr>
          </w:p>
          <w:p w:rsidR="009656FF" w:rsidRPr="00CA516A" w:rsidRDefault="009656FF" w:rsidP="007B7CC6">
            <w:pPr>
              <w:pStyle w:val="a4"/>
              <w:numPr>
                <w:ilvl w:val="0"/>
                <w:numId w:val="18"/>
              </w:numPr>
              <w:adjustRightInd w:val="0"/>
              <w:snapToGrid w:val="0"/>
              <w:ind w:leftChars="0"/>
              <w:jc w:val="both"/>
              <w:rPr>
                <w:rFonts w:ascii="標楷體" w:eastAsia="標楷體" w:hAnsi="標楷體"/>
              </w:rPr>
            </w:pPr>
            <w:r w:rsidRPr="00CA516A">
              <w:rPr>
                <w:rFonts w:ascii="標楷體" w:eastAsia="標楷體" w:hAnsi="標楷體" w:hint="eastAsia"/>
              </w:rPr>
              <w:t>允許</w:t>
            </w:r>
            <w:r w:rsidRPr="00953913">
              <w:rPr>
                <w:rFonts w:ascii="標楷體" w:eastAsia="標楷體" w:hAnsi="標楷體" w:hint="eastAsia"/>
              </w:rPr>
              <w:t>香港服務提供者在內地</w:t>
            </w:r>
            <w:r w:rsidRPr="00CA516A">
              <w:rPr>
                <w:rFonts w:ascii="標楷體" w:eastAsia="標楷體" w:hAnsi="標楷體" w:hint="eastAsia"/>
              </w:rPr>
              <w:t>從事遊戲遊藝設備銷售服務。</w:t>
            </w:r>
          </w:p>
          <w:p w:rsidR="00CA516A" w:rsidRPr="009656FF" w:rsidRDefault="00CA516A" w:rsidP="007B7CC6">
            <w:pPr>
              <w:jc w:val="both"/>
              <w:rPr>
                <w:rFonts w:ascii="標楷體" w:eastAsia="標楷體" w:hAnsi="標楷體"/>
              </w:rPr>
            </w:pPr>
          </w:p>
        </w:tc>
      </w:tr>
      <w:tr w:rsidR="00121794" w:rsidRPr="005F13A6" w:rsidTr="00CA516A">
        <w:tc>
          <w:tcPr>
            <w:tcW w:w="1560" w:type="dxa"/>
          </w:tcPr>
          <w:p w:rsidR="00121794" w:rsidRPr="00545BB3" w:rsidRDefault="00121794" w:rsidP="00953913">
            <w:pPr>
              <w:jc w:val="center"/>
              <w:rPr>
                <w:rFonts w:ascii="標楷體" w:eastAsia="標楷體" w:hAnsi="標楷體"/>
                <w:b/>
                <w:szCs w:val="24"/>
              </w:rPr>
            </w:pPr>
            <w:r>
              <w:rPr>
                <w:rFonts w:ascii="標楷體" w:eastAsia="標楷體" w:hAnsi="標楷體" w:hint="eastAsia"/>
                <w:b/>
                <w:szCs w:val="24"/>
              </w:rPr>
              <w:t>視聽</w:t>
            </w:r>
          </w:p>
        </w:tc>
        <w:tc>
          <w:tcPr>
            <w:tcW w:w="6854" w:type="dxa"/>
          </w:tcPr>
          <w:p w:rsidR="00121794" w:rsidRPr="00537B5C" w:rsidRDefault="00121794" w:rsidP="007B7CC6">
            <w:pPr>
              <w:pStyle w:val="a4"/>
              <w:numPr>
                <w:ilvl w:val="0"/>
                <w:numId w:val="18"/>
              </w:numPr>
              <w:ind w:leftChars="0"/>
              <w:jc w:val="both"/>
              <w:rPr>
                <w:rFonts w:ascii="標楷體" w:eastAsia="標楷體" w:hAnsi="標楷體"/>
              </w:rPr>
            </w:pPr>
            <w:r w:rsidRPr="00537B5C">
              <w:rPr>
                <w:rFonts w:ascii="標楷體" w:eastAsia="標楷體" w:hAnsi="標楷體" w:hint="eastAsia"/>
              </w:rPr>
              <w:t>香港拍攝的華語影片經內地主管部門審查通過後，由中國電影集團公司統一進口，由擁有《電影發行經營許可證》的發行公司在內地發行，不受進口配額限制。</w:t>
            </w:r>
          </w:p>
          <w:p w:rsidR="00121794" w:rsidRPr="00537B5C" w:rsidRDefault="00121794" w:rsidP="007B7CC6">
            <w:pPr>
              <w:jc w:val="both"/>
              <w:rPr>
                <w:rFonts w:ascii="標楷體" w:eastAsia="標楷體" w:hAnsi="標楷體"/>
              </w:rPr>
            </w:pPr>
          </w:p>
          <w:p w:rsidR="00121794" w:rsidRPr="00537B5C" w:rsidRDefault="00121794" w:rsidP="007B7CC6">
            <w:pPr>
              <w:pStyle w:val="a4"/>
              <w:numPr>
                <w:ilvl w:val="0"/>
                <w:numId w:val="18"/>
              </w:numPr>
              <w:ind w:leftChars="0"/>
              <w:jc w:val="both"/>
              <w:rPr>
                <w:rFonts w:ascii="標楷體" w:eastAsia="標楷體" w:hAnsi="標楷體"/>
              </w:rPr>
            </w:pPr>
            <w:r w:rsidRPr="00537B5C">
              <w:rPr>
                <w:rFonts w:ascii="標楷體" w:eastAsia="標楷體" w:hAnsi="標楷體" w:hint="eastAsia"/>
              </w:rPr>
              <w:t>允許香港影片的方言話版本，經內地主管部門審查通過後，由中國電影集團公司統一進口，由擁有《電影發行經營許可證》的發行公司在內地發行，</w:t>
            </w:r>
            <w:proofErr w:type="gramStart"/>
            <w:r w:rsidRPr="00537B5C">
              <w:rPr>
                <w:rFonts w:ascii="標楷體" w:eastAsia="標楷體" w:hAnsi="標楷體" w:hint="eastAsia"/>
              </w:rPr>
              <w:t>但均須加</w:t>
            </w:r>
            <w:proofErr w:type="gramEnd"/>
            <w:r w:rsidRPr="00537B5C">
              <w:rPr>
                <w:rFonts w:ascii="標楷體" w:eastAsia="標楷體" w:hAnsi="標楷體" w:hint="eastAsia"/>
              </w:rPr>
              <w:t>注標準漢語字幕。</w:t>
            </w:r>
          </w:p>
          <w:p w:rsidR="00121794" w:rsidRPr="00537B5C" w:rsidRDefault="00121794" w:rsidP="007B7CC6">
            <w:pPr>
              <w:jc w:val="both"/>
              <w:rPr>
                <w:rFonts w:ascii="標楷體" w:eastAsia="標楷體" w:hAnsi="標楷體"/>
              </w:rPr>
            </w:pPr>
            <w:bookmarkStart w:id="0" w:name="_GoBack"/>
            <w:bookmarkEnd w:id="0"/>
          </w:p>
        </w:tc>
      </w:tr>
      <w:tr w:rsidR="00CA516A" w:rsidRPr="005F13A6" w:rsidTr="00CA516A">
        <w:tc>
          <w:tcPr>
            <w:tcW w:w="1560" w:type="dxa"/>
          </w:tcPr>
          <w:p w:rsidR="00CA516A" w:rsidRPr="00545BB3" w:rsidRDefault="00CA516A" w:rsidP="00953913">
            <w:pPr>
              <w:jc w:val="center"/>
              <w:rPr>
                <w:rFonts w:ascii="標楷體" w:eastAsia="標楷體" w:hAnsi="標楷體"/>
                <w:b/>
                <w:szCs w:val="24"/>
              </w:rPr>
            </w:pPr>
            <w:r>
              <w:rPr>
                <w:rFonts w:ascii="標楷體" w:eastAsia="標楷體" w:hAnsi="標楷體" w:hint="eastAsia"/>
                <w:b/>
                <w:szCs w:val="24"/>
              </w:rPr>
              <w:t>個體工商戶</w:t>
            </w:r>
          </w:p>
        </w:tc>
        <w:tc>
          <w:tcPr>
            <w:tcW w:w="6854" w:type="dxa"/>
          </w:tcPr>
          <w:p w:rsidR="00CA516A" w:rsidRPr="00537B5C" w:rsidRDefault="00121794" w:rsidP="007B7CC6">
            <w:pPr>
              <w:pStyle w:val="a4"/>
              <w:numPr>
                <w:ilvl w:val="0"/>
                <w:numId w:val="18"/>
              </w:numPr>
              <w:ind w:leftChars="0"/>
              <w:jc w:val="both"/>
              <w:rPr>
                <w:rFonts w:ascii="標楷體" w:eastAsia="標楷體" w:hAnsi="標楷體"/>
              </w:rPr>
            </w:pPr>
            <w:r w:rsidRPr="00537B5C">
              <w:rPr>
                <w:rFonts w:ascii="標楷體" w:eastAsia="標楷體" w:hAnsi="標楷體" w:hint="eastAsia"/>
              </w:rPr>
              <w:t>香港永久性居民中的中國公民在內地設立的個體工商戶，其</w:t>
            </w:r>
            <w:r w:rsidR="00CA516A" w:rsidRPr="00537B5C">
              <w:rPr>
                <w:rFonts w:ascii="標楷體" w:eastAsia="標楷體" w:hAnsi="標楷體" w:hint="eastAsia"/>
              </w:rPr>
              <w:t>可從事業務增加五項：食品、飲料批發；一般旅館；其他住宿業；房地產中介服務；自有房地產經營活動</w:t>
            </w:r>
            <w:r w:rsidRPr="00537B5C">
              <w:rPr>
                <w:rFonts w:ascii="標楷體" w:eastAsia="標楷體" w:hAnsi="標楷體" w:hint="eastAsia"/>
              </w:rPr>
              <w:t>。</w:t>
            </w:r>
          </w:p>
          <w:p w:rsidR="000B2022" w:rsidRPr="000B2022" w:rsidRDefault="000B2022" w:rsidP="007B7CC6">
            <w:pPr>
              <w:jc w:val="both"/>
              <w:rPr>
                <w:rFonts w:ascii="標楷體" w:eastAsia="標楷體" w:hAnsi="標楷體"/>
              </w:rPr>
            </w:pPr>
          </w:p>
        </w:tc>
      </w:tr>
    </w:tbl>
    <w:p w:rsidR="00962EEE" w:rsidRPr="00F92A66" w:rsidRDefault="00962EEE" w:rsidP="003A72FF">
      <w:pPr>
        <w:rPr>
          <w:rFonts w:ascii="標楷體" w:eastAsia="標楷體" w:hAnsi="標楷體" w:cs="Times New Roman"/>
          <w:lang w:eastAsia="zh-HK"/>
        </w:rPr>
      </w:pPr>
    </w:p>
    <w:sectPr w:rsidR="00962EEE" w:rsidRPr="00F92A66" w:rsidSect="004527FD">
      <w:footerReference w:type="default" r:id="rId9"/>
      <w:pgSz w:w="11906" w:h="16838"/>
      <w:pgMar w:top="1134" w:right="1797" w:bottom="1134" w:left="1797" w:header="851" w:footer="635"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565" w:rsidRDefault="00E74565" w:rsidP="00AB1041">
      <w:r>
        <w:separator/>
      </w:r>
    </w:p>
  </w:endnote>
  <w:endnote w:type="continuationSeparator" w:id="0">
    <w:p w:rsidR="00E74565" w:rsidRDefault="00E74565" w:rsidP="00AB1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KaiTi_GB2312">
    <w:altName w:val="楷体_GB2312"/>
    <w:panose1 w:val="02010609060101010101"/>
    <w:charset w:val="86"/>
    <w:family w:val="modern"/>
    <w:pitch w:val="fixed"/>
    <w:sig w:usb0="800002BF" w:usb1="38CF7CFA" w:usb2="00000016" w:usb3="00000000" w:csb0="0004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華康細明體">
    <w:altName w:val="Arial Unicode MS"/>
    <w:charset w:val="88"/>
    <w:family w:val="modern"/>
    <w:pitch w:val="fixed"/>
    <w:sig w:usb0="A00002FF" w:usb1="39DFFFFF" w:usb2="00000037" w:usb3="00000000" w:csb0="003F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240464"/>
      <w:docPartObj>
        <w:docPartGallery w:val="Page Numbers (Bottom of Page)"/>
        <w:docPartUnique/>
      </w:docPartObj>
    </w:sdtPr>
    <w:sdtEndPr>
      <w:rPr>
        <w:rFonts w:ascii="Times New Roman" w:hAnsi="Times New Roman" w:cs="Times New Roman"/>
      </w:rPr>
    </w:sdtEndPr>
    <w:sdtContent>
      <w:p w:rsidR="00AB1041" w:rsidRPr="00AB1041" w:rsidRDefault="00AB1041">
        <w:pPr>
          <w:pStyle w:val="a6"/>
          <w:jc w:val="center"/>
          <w:rPr>
            <w:rFonts w:ascii="Times New Roman" w:hAnsi="Times New Roman" w:cs="Times New Roman"/>
          </w:rPr>
        </w:pPr>
        <w:r w:rsidRPr="00AB1041">
          <w:rPr>
            <w:rFonts w:ascii="Times New Roman" w:hAnsi="Times New Roman" w:cs="Times New Roman"/>
          </w:rPr>
          <w:fldChar w:fldCharType="begin"/>
        </w:r>
        <w:r w:rsidRPr="00AB1041">
          <w:rPr>
            <w:rFonts w:ascii="Times New Roman" w:hAnsi="Times New Roman" w:cs="Times New Roman"/>
          </w:rPr>
          <w:instrText>PAGE   \* MERGEFORMAT</w:instrText>
        </w:r>
        <w:r w:rsidRPr="00AB1041">
          <w:rPr>
            <w:rFonts w:ascii="Times New Roman" w:hAnsi="Times New Roman" w:cs="Times New Roman"/>
          </w:rPr>
          <w:fldChar w:fldCharType="separate"/>
        </w:r>
        <w:r w:rsidR="004527FD" w:rsidRPr="004527FD">
          <w:rPr>
            <w:rFonts w:ascii="Times New Roman" w:hAnsi="Times New Roman" w:cs="Times New Roman"/>
            <w:noProof/>
            <w:lang w:val="zh-TW"/>
          </w:rPr>
          <w:t>1</w:t>
        </w:r>
        <w:r w:rsidRPr="00AB1041">
          <w:rPr>
            <w:rFonts w:ascii="Times New Roman" w:hAnsi="Times New Roman" w:cs="Times New Roman"/>
          </w:rPr>
          <w:fldChar w:fldCharType="end"/>
        </w:r>
      </w:p>
    </w:sdtContent>
  </w:sdt>
  <w:p w:rsidR="00AB1041" w:rsidRDefault="00AB104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565" w:rsidRDefault="00E74565" w:rsidP="00AB1041">
      <w:r>
        <w:separator/>
      </w:r>
    </w:p>
  </w:footnote>
  <w:footnote w:type="continuationSeparator" w:id="0">
    <w:p w:rsidR="00E74565" w:rsidRDefault="00E74565" w:rsidP="00AB10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741E"/>
    <w:multiLevelType w:val="hybridMultilevel"/>
    <w:tmpl w:val="E8C693EE"/>
    <w:lvl w:ilvl="0" w:tplc="B36A82E8">
      <w:start w:val="1"/>
      <w:numFmt w:val="taiwaneseCountingThousand"/>
      <w:lvlText w:val="（%1）"/>
      <w:lvlJc w:val="left"/>
      <w:pPr>
        <w:tabs>
          <w:tab w:val="num" w:pos="1080"/>
        </w:tabs>
        <w:ind w:left="1080" w:hanging="1080"/>
      </w:pPr>
      <w:rPr>
        <w:rFonts w:eastAsia="新細明體" w:hint="default"/>
      </w:rPr>
    </w:lvl>
    <w:lvl w:ilvl="1" w:tplc="14A8EFA2">
      <w:start w:val="1"/>
      <w:numFmt w:val="lowerRoman"/>
      <w:lvlText w:val="%2."/>
      <w:lvlJc w:val="left"/>
      <w:pPr>
        <w:tabs>
          <w:tab w:val="num" w:pos="1200"/>
        </w:tabs>
        <w:ind w:left="1200" w:hanging="720"/>
      </w:pPr>
      <w:rPr>
        <w:rFonts w:eastAsia="SimSu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8E2797C"/>
    <w:multiLevelType w:val="multilevel"/>
    <w:tmpl w:val="4C7ED544"/>
    <w:lvl w:ilvl="0">
      <w:start w:val="1"/>
      <w:numFmt w:val="decimal"/>
      <w:pStyle w:val="KWListNumber"/>
      <w:lvlText w:val="%1"/>
      <w:lvlJc w:val="left"/>
      <w:pPr>
        <w:tabs>
          <w:tab w:val="num" w:pos="1134"/>
        </w:tabs>
        <w:ind w:left="1134" w:hanging="567"/>
      </w:pPr>
      <w:rPr>
        <w:rFonts w:ascii="Arial" w:eastAsia="KaiTi_GB2312" w:hAnsi="Arial" w:hint="default"/>
        <w:sz w:val="20"/>
      </w:rPr>
    </w:lvl>
    <w:lvl w:ilvl="1">
      <w:start w:val="1"/>
      <w:numFmt w:val="lowerLetter"/>
      <w:lvlText w:val="%2)"/>
      <w:lvlJc w:val="left"/>
      <w:pPr>
        <w:tabs>
          <w:tab w:val="num" w:pos="1701"/>
        </w:tabs>
        <w:ind w:left="1701" w:hanging="567"/>
      </w:pPr>
      <w:rPr>
        <w:rFonts w:ascii="Arial" w:hAnsi="Arial" w:hint="default"/>
        <w:sz w:val="20"/>
      </w:rPr>
    </w:lvl>
    <w:lvl w:ilvl="2">
      <w:start w:val="1"/>
      <w:numFmt w:val="lowerRoman"/>
      <w:lvlText w:val="%3."/>
      <w:lvlJc w:val="left"/>
      <w:pPr>
        <w:tabs>
          <w:tab w:val="num" w:pos="2268"/>
        </w:tabs>
        <w:ind w:left="2268" w:hanging="567"/>
      </w:pPr>
      <w:rPr>
        <w:rFonts w:ascii="Arial" w:hAnsi="Arial" w:hint="default"/>
        <w:sz w:val="20"/>
      </w:rPr>
    </w:lvl>
    <w:lvl w:ilvl="3">
      <w:start w:val="1"/>
      <w:numFmt w:val="none"/>
      <w:lvlText w:val=""/>
      <w:lvlJc w:val="left"/>
      <w:pPr>
        <w:tabs>
          <w:tab w:val="num" w:pos="2268"/>
        </w:tabs>
        <w:ind w:left="2268" w:hanging="567"/>
      </w:pPr>
      <w:rPr>
        <w:rFonts w:hint="eastAsia"/>
      </w:rPr>
    </w:lvl>
    <w:lvl w:ilvl="4">
      <w:start w:val="1"/>
      <w:numFmt w:val="none"/>
      <w:lvlText w:val=""/>
      <w:lvlJc w:val="left"/>
      <w:pPr>
        <w:tabs>
          <w:tab w:val="num" w:pos="2268"/>
        </w:tabs>
        <w:ind w:left="2268" w:hanging="567"/>
      </w:pPr>
      <w:rPr>
        <w:rFonts w:hint="eastAsia"/>
      </w:rPr>
    </w:lvl>
    <w:lvl w:ilvl="5">
      <w:start w:val="1"/>
      <w:numFmt w:val="none"/>
      <w:lvlText w:val=""/>
      <w:lvlJc w:val="left"/>
      <w:pPr>
        <w:tabs>
          <w:tab w:val="num" w:pos="2268"/>
        </w:tabs>
        <w:ind w:left="2268" w:hanging="567"/>
      </w:pPr>
      <w:rPr>
        <w:rFonts w:hint="eastAsia"/>
      </w:rPr>
    </w:lvl>
    <w:lvl w:ilvl="6">
      <w:start w:val="1"/>
      <w:numFmt w:val="none"/>
      <w:lvlText w:val=""/>
      <w:lvlJc w:val="left"/>
      <w:pPr>
        <w:tabs>
          <w:tab w:val="num" w:pos="2268"/>
        </w:tabs>
        <w:ind w:left="2268" w:hanging="567"/>
      </w:pPr>
      <w:rPr>
        <w:rFonts w:hint="eastAsia"/>
      </w:rPr>
    </w:lvl>
    <w:lvl w:ilvl="7">
      <w:start w:val="1"/>
      <w:numFmt w:val="none"/>
      <w:lvlText w:val=""/>
      <w:lvlJc w:val="left"/>
      <w:pPr>
        <w:tabs>
          <w:tab w:val="num" w:pos="2268"/>
        </w:tabs>
        <w:ind w:left="2268" w:hanging="567"/>
      </w:pPr>
      <w:rPr>
        <w:rFonts w:hint="eastAsia"/>
      </w:rPr>
    </w:lvl>
    <w:lvl w:ilvl="8">
      <w:start w:val="1"/>
      <w:numFmt w:val="none"/>
      <w:lvlText w:val=""/>
      <w:lvlJc w:val="left"/>
      <w:pPr>
        <w:tabs>
          <w:tab w:val="num" w:pos="2268"/>
        </w:tabs>
        <w:ind w:left="2268" w:hanging="567"/>
      </w:pPr>
      <w:rPr>
        <w:rFonts w:hint="eastAsia"/>
      </w:rPr>
    </w:lvl>
  </w:abstractNum>
  <w:abstractNum w:abstractNumId="2">
    <w:nsid w:val="0B3E73A3"/>
    <w:multiLevelType w:val="multilevel"/>
    <w:tmpl w:val="7928973A"/>
    <w:lvl w:ilvl="0">
      <w:start w:val="1"/>
      <w:numFmt w:val="chineseCountingThousand"/>
      <w:pStyle w:val="KWheading1"/>
      <w:lvlText w:val="%1、"/>
      <w:lvlJc w:val="left"/>
      <w:pPr>
        <w:tabs>
          <w:tab w:val="num" w:pos="567"/>
        </w:tabs>
        <w:ind w:left="567" w:hanging="567"/>
      </w:pPr>
      <w:rPr>
        <w:rFonts w:hint="eastAsia"/>
      </w:rPr>
    </w:lvl>
    <w:lvl w:ilvl="1">
      <w:start w:val="1"/>
      <w:numFmt w:val="decimal"/>
      <w:pStyle w:val="KWheading2"/>
      <w:lvlText w:val="%2."/>
      <w:lvlJc w:val="left"/>
      <w:pPr>
        <w:tabs>
          <w:tab w:val="num" w:pos="567"/>
        </w:tabs>
        <w:ind w:left="567" w:hanging="567"/>
      </w:pPr>
      <w:rPr>
        <w:rFonts w:ascii="Arial" w:hAnsi="Arial" w:hint="default"/>
        <w:sz w:val="24"/>
      </w:rPr>
    </w:lvl>
    <w:lvl w:ilvl="2">
      <w:start w:val="1"/>
      <w:numFmt w:val="lowerLetter"/>
      <w:pStyle w:val="KWheading3"/>
      <w:lvlText w:val="(%3)"/>
      <w:lvlJc w:val="left"/>
      <w:pPr>
        <w:tabs>
          <w:tab w:val="num" w:pos="567"/>
        </w:tabs>
        <w:ind w:left="567" w:hanging="567"/>
      </w:pPr>
      <w:rPr>
        <w:rFonts w:ascii="Arial" w:hAnsi="Arial" w:hint="default"/>
        <w:sz w:val="20"/>
      </w:rPr>
    </w:lvl>
    <w:lvl w:ilvl="3">
      <w:start w:val="1"/>
      <w:numFmt w:val="lowerRoman"/>
      <w:pStyle w:val="KWheading4"/>
      <w:lvlText w:val="(%4)"/>
      <w:lvlJc w:val="left"/>
      <w:pPr>
        <w:tabs>
          <w:tab w:val="num" w:pos="1134"/>
        </w:tabs>
        <w:ind w:left="1134" w:hanging="567"/>
      </w:pPr>
      <w:rPr>
        <w:rFonts w:ascii="Arial" w:hAnsi="Arial" w:hint="default"/>
        <w:b w:val="0"/>
        <w:i w:val="0"/>
        <w:sz w:val="20"/>
      </w:rPr>
    </w:lvl>
    <w:lvl w:ilvl="4">
      <w:start w:val="1"/>
      <w:numFmt w:val="upperLetter"/>
      <w:pStyle w:val="KWheading5"/>
      <w:lvlText w:val="(%5)"/>
      <w:lvlJc w:val="left"/>
      <w:pPr>
        <w:tabs>
          <w:tab w:val="num" w:pos="1701"/>
        </w:tabs>
        <w:ind w:left="1701" w:hanging="567"/>
      </w:pPr>
      <w:rPr>
        <w:rFonts w:ascii="Arial" w:hAnsi="Arial" w:hint="default"/>
        <w:sz w:val="20"/>
      </w:rPr>
    </w:lvl>
    <w:lvl w:ilvl="5">
      <w:start w:val="1"/>
      <w:numFmt w:val="none"/>
      <w:lvlText w:val=""/>
      <w:lvlJc w:val="left"/>
      <w:pPr>
        <w:tabs>
          <w:tab w:val="num" w:pos="2268"/>
        </w:tabs>
        <w:ind w:left="2268" w:hanging="2268"/>
      </w:pPr>
      <w:rPr>
        <w:rFonts w:hint="eastAsia"/>
      </w:rPr>
    </w:lvl>
    <w:lvl w:ilvl="6">
      <w:start w:val="1"/>
      <w:numFmt w:val="none"/>
      <w:lvlText w:val=""/>
      <w:lvlJc w:val="left"/>
      <w:pPr>
        <w:tabs>
          <w:tab w:val="num" w:pos="2268"/>
        </w:tabs>
        <w:ind w:left="2268" w:hanging="2268"/>
      </w:pPr>
      <w:rPr>
        <w:rFonts w:hint="eastAsia"/>
      </w:rPr>
    </w:lvl>
    <w:lvl w:ilvl="7">
      <w:start w:val="1"/>
      <w:numFmt w:val="none"/>
      <w:lvlText w:val=""/>
      <w:lvlJc w:val="left"/>
      <w:pPr>
        <w:tabs>
          <w:tab w:val="num" w:pos="2268"/>
        </w:tabs>
        <w:ind w:left="2268" w:hanging="2268"/>
      </w:pPr>
      <w:rPr>
        <w:rFonts w:hint="eastAsia"/>
      </w:rPr>
    </w:lvl>
    <w:lvl w:ilvl="8">
      <w:start w:val="1"/>
      <w:numFmt w:val="none"/>
      <w:lvlText w:val=""/>
      <w:lvlJc w:val="left"/>
      <w:pPr>
        <w:tabs>
          <w:tab w:val="num" w:pos="2268"/>
        </w:tabs>
        <w:ind w:left="2268" w:hanging="2268"/>
      </w:pPr>
      <w:rPr>
        <w:rFonts w:hint="eastAsia"/>
      </w:rPr>
    </w:lvl>
  </w:abstractNum>
  <w:abstractNum w:abstractNumId="3">
    <w:nsid w:val="1BA969AC"/>
    <w:multiLevelType w:val="hybridMultilevel"/>
    <w:tmpl w:val="FF307754"/>
    <w:lvl w:ilvl="0" w:tplc="EB84EC10">
      <w:start w:val="1"/>
      <w:numFmt w:val="upperRoman"/>
      <w:lvlText w:val="%1."/>
      <w:lvlJc w:val="left"/>
      <w:pPr>
        <w:ind w:left="720" w:hanging="720"/>
      </w:pPr>
      <w:rPr>
        <w:rFonts w:ascii="Times New Roman" w:eastAsia="標楷體"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1E917BD"/>
    <w:multiLevelType w:val="hybridMultilevel"/>
    <w:tmpl w:val="E1F879C0"/>
    <w:lvl w:ilvl="0" w:tplc="880E0E74">
      <w:start w:val="6"/>
      <w:numFmt w:val="bullet"/>
      <w:lvlText w:val="-"/>
      <w:lvlJc w:val="left"/>
      <w:pPr>
        <w:ind w:left="786" w:hanging="360"/>
      </w:pPr>
      <w:rPr>
        <w:rFonts w:ascii="標楷體" w:eastAsia="標楷體" w:hAnsi="標楷體" w:cstheme="minorBidi" w:hint="eastAsia"/>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5">
    <w:nsid w:val="263B5143"/>
    <w:multiLevelType w:val="hybridMultilevel"/>
    <w:tmpl w:val="10ECA17C"/>
    <w:lvl w:ilvl="0" w:tplc="215AC3E2">
      <w:start w:val="1"/>
      <w:numFmt w:val="decimal"/>
      <w:lvlText w:val="%1）"/>
      <w:lvlJc w:val="left"/>
      <w:pPr>
        <w:tabs>
          <w:tab w:val="num" w:pos="1176"/>
        </w:tabs>
        <w:ind w:left="1176" w:hanging="720"/>
      </w:pPr>
      <w:rPr>
        <w:rFonts w:hint="default"/>
      </w:rPr>
    </w:lvl>
    <w:lvl w:ilvl="1" w:tplc="A740E352">
      <w:start w:val="1"/>
      <w:numFmt w:val="decimal"/>
      <w:lvlText w:val="%2."/>
      <w:lvlJc w:val="left"/>
      <w:pPr>
        <w:ind w:left="1236" w:hanging="360"/>
      </w:pPr>
      <w:rPr>
        <w:rFonts w:hint="default"/>
      </w:rPr>
    </w:lvl>
    <w:lvl w:ilvl="2" w:tplc="0409001B" w:tentative="1">
      <w:start w:val="1"/>
      <w:numFmt w:val="lowerRoman"/>
      <w:lvlText w:val="%3."/>
      <w:lvlJc w:val="right"/>
      <w:pPr>
        <w:tabs>
          <w:tab w:val="num" w:pos="1716"/>
        </w:tabs>
        <w:ind w:left="1716" w:hanging="420"/>
      </w:pPr>
    </w:lvl>
    <w:lvl w:ilvl="3" w:tplc="0409000F" w:tentative="1">
      <w:start w:val="1"/>
      <w:numFmt w:val="decimal"/>
      <w:lvlText w:val="%4."/>
      <w:lvlJc w:val="left"/>
      <w:pPr>
        <w:tabs>
          <w:tab w:val="num" w:pos="2136"/>
        </w:tabs>
        <w:ind w:left="2136" w:hanging="420"/>
      </w:pPr>
    </w:lvl>
    <w:lvl w:ilvl="4" w:tplc="04090019" w:tentative="1">
      <w:start w:val="1"/>
      <w:numFmt w:val="lowerLetter"/>
      <w:lvlText w:val="%5)"/>
      <w:lvlJc w:val="left"/>
      <w:pPr>
        <w:tabs>
          <w:tab w:val="num" w:pos="2556"/>
        </w:tabs>
        <w:ind w:left="2556" w:hanging="420"/>
      </w:pPr>
    </w:lvl>
    <w:lvl w:ilvl="5" w:tplc="0409001B" w:tentative="1">
      <w:start w:val="1"/>
      <w:numFmt w:val="lowerRoman"/>
      <w:lvlText w:val="%6."/>
      <w:lvlJc w:val="right"/>
      <w:pPr>
        <w:tabs>
          <w:tab w:val="num" w:pos="2976"/>
        </w:tabs>
        <w:ind w:left="2976" w:hanging="420"/>
      </w:pPr>
    </w:lvl>
    <w:lvl w:ilvl="6" w:tplc="0409000F" w:tentative="1">
      <w:start w:val="1"/>
      <w:numFmt w:val="decimal"/>
      <w:lvlText w:val="%7."/>
      <w:lvlJc w:val="left"/>
      <w:pPr>
        <w:tabs>
          <w:tab w:val="num" w:pos="3396"/>
        </w:tabs>
        <w:ind w:left="3396" w:hanging="420"/>
      </w:pPr>
    </w:lvl>
    <w:lvl w:ilvl="7" w:tplc="04090019" w:tentative="1">
      <w:start w:val="1"/>
      <w:numFmt w:val="lowerLetter"/>
      <w:lvlText w:val="%8)"/>
      <w:lvlJc w:val="left"/>
      <w:pPr>
        <w:tabs>
          <w:tab w:val="num" w:pos="3816"/>
        </w:tabs>
        <w:ind w:left="3816" w:hanging="420"/>
      </w:pPr>
    </w:lvl>
    <w:lvl w:ilvl="8" w:tplc="0409001B" w:tentative="1">
      <w:start w:val="1"/>
      <w:numFmt w:val="lowerRoman"/>
      <w:lvlText w:val="%9."/>
      <w:lvlJc w:val="right"/>
      <w:pPr>
        <w:tabs>
          <w:tab w:val="num" w:pos="4236"/>
        </w:tabs>
        <w:ind w:left="4236" w:hanging="420"/>
      </w:pPr>
    </w:lvl>
  </w:abstractNum>
  <w:abstractNum w:abstractNumId="6">
    <w:nsid w:val="265F3907"/>
    <w:multiLevelType w:val="hybridMultilevel"/>
    <w:tmpl w:val="198C8422"/>
    <w:lvl w:ilvl="0" w:tplc="215AC3E2">
      <w:start w:val="1"/>
      <w:numFmt w:val="decimal"/>
      <w:lvlText w:val="%1）"/>
      <w:lvlJc w:val="left"/>
      <w:pPr>
        <w:tabs>
          <w:tab w:val="num" w:pos="720"/>
        </w:tabs>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80D4172"/>
    <w:multiLevelType w:val="hybridMultilevel"/>
    <w:tmpl w:val="D58C11D0"/>
    <w:lvl w:ilvl="0" w:tplc="5C0C9B5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322441B7"/>
    <w:multiLevelType w:val="hybridMultilevel"/>
    <w:tmpl w:val="DCD0A288"/>
    <w:lvl w:ilvl="0" w:tplc="C84A55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289671F"/>
    <w:multiLevelType w:val="hybridMultilevel"/>
    <w:tmpl w:val="E7E84B90"/>
    <w:lvl w:ilvl="0" w:tplc="226AC8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D495BC7"/>
    <w:multiLevelType w:val="hybridMultilevel"/>
    <w:tmpl w:val="4E465540"/>
    <w:lvl w:ilvl="0" w:tplc="5656A73E">
      <w:start w:val="1"/>
      <w:numFmt w:val="decimal"/>
      <w:lvlText w:val="%1."/>
      <w:lvlJc w:val="left"/>
      <w:pPr>
        <w:ind w:left="480" w:hanging="480"/>
      </w:pPr>
      <w:rPr>
        <w:rFonts w:eastAsia="標楷體" w:hint="eastAsia"/>
        <w:snapToGrid w:val="0"/>
        <w:kern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EDD6DE2"/>
    <w:multiLevelType w:val="hybridMultilevel"/>
    <w:tmpl w:val="D362F57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40D86A81"/>
    <w:multiLevelType w:val="hybridMultilevel"/>
    <w:tmpl w:val="4E465540"/>
    <w:lvl w:ilvl="0" w:tplc="5656A73E">
      <w:start w:val="1"/>
      <w:numFmt w:val="decimal"/>
      <w:lvlText w:val="%1."/>
      <w:lvlJc w:val="left"/>
      <w:pPr>
        <w:ind w:left="480" w:hanging="480"/>
      </w:pPr>
      <w:rPr>
        <w:rFonts w:eastAsia="標楷體" w:hint="eastAsia"/>
        <w:snapToGrid w:val="0"/>
        <w:kern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3BC3B9D"/>
    <w:multiLevelType w:val="hybridMultilevel"/>
    <w:tmpl w:val="5F00E62C"/>
    <w:lvl w:ilvl="0" w:tplc="0409000B">
      <w:start w:val="1"/>
      <w:numFmt w:val="bullet"/>
      <w:lvlText w:val=""/>
      <w:lvlJc w:val="left"/>
      <w:pPr>
        <w:ind w:left="2073"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14">
    <w:nsid w:val="4A321A1F"/>
    <w:multiLevelType w:val="hybridMultilevel"/>
    <w:tmpl w:val="95AEB262"/>
    <w:lvl w:ilvl="0" w:tplc="B9600636">
      <w:start w:val="1"/>
      <w:numFmt w:val="decimal"/>
      <w:lvlText w:val="%1."/>
      <w:lvlJc w:val="left"/>
      <w:pPr>
        <w:ind w:left="360" w:hanging="360"/>
      </w:pPr>
      <w:rPr>
        <w:rFonts w:ascii="SimSun" w:eastAsiaTheme="minorEastAsia" w:hAnsi="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3F5321E"/>
    <w:multiLevelType w:val="hybridMultilevel"/>
    <w:tmpl w:val="E41218AE"/>
    <w:lvl w:ilvl="0" w:tplc="5656A73E">
      <w:start w:val="1"/>
      <w:numFmt w:val="decimal"/>
      <w:lvlText w:val="%1."/>
      <w:lvlJc w:val="left"/>
      <w:pPr>
        <w:ind w:left="480" w:hanging="480"/>
      </w:pPr>
      <w:rPr>
        <w:rFonts w:eastAsia="標楷體" w:hint="eastAsia"/>
        <w:snapToGrid w:val="0"/>
        <w:kern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E216D61"/>
    <w:multiLevelType w:val="hybridMultilevel"/>
    <w:tmpl w:val="7B143D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DCA1D44"/>
    <w:multiLevelType w:val="hybridMultilevel"/>
    <w:tmpl w:val="4E465540"/>
    <w:lvl w:ilvl="0" w:tplc="5656A73E">
      <w:start w:val="1"/>
      <w:numFmt w:val="decimal"/>
      <w:lvlText w:val="%1."/>
      <w:lvlJc w:val="left"/>
      <w:pPr>
        <w:ind w:left="480" w:hanging="480"/>
      </w:pPr>
      <w:rPr>
        <w:rFonts w:eastAsia="標楷體" w:hint="eastAsia"/>
        <w:snapToGrid w:val="0"/>
        <w:kern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31838A9"/>
    <w:multiLevelType w:val="hybridMultilevel"/>
    <w:tmpl w:val="9DA67FE4"/>
    <w:lvl w:ilvl="0" w:tplc="0E3ED4B8">
      <w:start w:val="1"/>
      <w:numFmt w:val="decimal"/>
      <w:lvlText w:val="%1."/>
      <w:lvlJc w:val="left"/>
      <w:pPr>
        <w:ind w:left="360" w:hanging="360"/>
      </w:pPr>
      <w:rPr>
        <w:rFonts w:hint="default"/>
      </w:rPr>
    </w:lvl>
    <w:lvl w:ilvl="1" w:tplc="C8168A2A">
      <w:start w:val="1"/>
      <w:numFmt w:val="bullet"/>
      <w:lvlText w:val="-"/>
      <w:lvlJc w:val="left"/>
      <w:pPr>
        <w:ind w:left="840" w:hanging="360"/>
      </w:pPr>
      <w:rPr>
        <w:rFonts w:ascii="SimSun" w:eastAsia="SimSun" w:hAnsi="SimSun" w:cstheme="minorBid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3BB2287"/>
    <w:multiLevelType w:val="hybridMultilevel"/>
    <w:tmpl w:val="4E465540"/>
    <w:lvl w:ilvl="0" w:tplc="5656A73E">
      <w:start w:val="1"/>
      <w:numFmt w:val="decimal"/>
      <w:lvlText w:val="%1."/>
      <w:lvlJc w:val="left"/>
      <w:pPr>
        <w:ind w:left="480" w:hanging="480"/>
      </w:pPr>
      <w:rPr>
        <w:rFonts w:eastAsia="標楷體" w:hint="eastAsia"/>
        <w:snapToGrid w:val="0"/>
        <w:kern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9"/>
  </w:num>
  <w:num w:numId="3">
    <w:abstractNumId w:val="5"/>
  </w:num>
  <w:num w:numId="4">
    <w:abstractNumId w:val="16"/>
  </w:num>
  <w:num w:numId="5">
    <w:abstractNumId w:val="14"/>
  </w:num>
  <w:num w:numId="6">
    <w:abstractNumId w:val="18"/>
  </w:num>
  <w:num w:numId="7">
    <w:abstractNumId w:val="6"/>
  </w:num>
  <w:num w:numId="8">
    <w:abstractNumId w:val="12"/>
  </w:num>
  <w:num w:numId="9">
    <w:abstractNumId w:val="19"/>
  </w:num>
  <w:num w:numId="10">
    <w:abstractNumId w:val="17"/>
  </w:num>
  <w:num w:numId="11">
    <w:abstractNumId w:val="10"/>
  </w:num>
  <w:num w:numId="12">
    <w:abstractNumId w:val="15"/>
  </w:num>
  <w:num w:numId="13">
    <w:abstractNumId w:val="8"/>
  </w:num>
  <w:num w:numId="14">
    <w:abstractNumId w:val="13"/>
  </w:num>
  <w:num w:numId="15">
    <w:abstractNumId w:val="4"/>
  </w:num>
  <w:num w:numId="16">
    <w:abstractNumId w:val="2"/>
  </w:num>
  <w:num w:numId="17">
    <w:abstractNumId w:val="1"/>
  </w:num>
  <w:num w:numId="18">
    <w:abstractNumId w:val="11"/>
  </w:num>
  <w:num w:numId="19">
    <w:abstractNumId w:val="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C01"/>
    <w:rsid w:val="000267D9"/>
    <w:rsid w:val="00033508"/>
    <w:rsid w:val="000348AB"/>
    <w:rsid w:val="000352DA"/>
    <w:rsid w:val="00052FCB"/>
    <w:rsid w:val="00090CF6"/>
    <w:rsid w:val="000B2022"/>
    <w:rsid w:val="000B21EC"/>
    <w:rsid w:val="000B4275"/>
    <w:rsid w:val="000C6752"/>
    <w:rsid w:val="00121794"/>
    <w:rsid w:val="001628EA"/>
    <w:rsid w:val="00165C7B"/>
    <w:rsid w:val="00172BC0"/>
    <w:rsid w:val="00177399"/>
    <w:rsid w:val="00191CC4"/>
    <w:rsid w:val="00194145"/>
    <w:rsid w:val="001B382F"/>
    <w:rsid w:val="001D08F3"/>
    <w:rsid w:val="001F143F"/>
    <w:rsid w:val="001F2A0E"/>
    <w:rsid w:val="001F6805"/>
    <w:rsid w:val="00210654"/>
    <w:rsid w:val="002632F5"/>
    <w:rsid w:val="0027750C"/>
    <w:rsid w:val="00291406"/>
    <w:rsid w:val="00295723"/>
    <w:rsid w:val="002A29D5"/>
    <w:rsid w:val="002B2D7C"/>
    <w:rsid w:val="002B3D40"/>
    <w:rsid w:val="00303BE0"/>
    <w:rsid w:val="00305600"/>
    <w:rsid w:val="0031083C"/>
    <w:rsid w:val="00312509"/>
    <w:rsid w:val="0031318D"/>
    <w:rsid w:val="003878DF"/>
    <w:rsid w:val="003A72FF"/>
    <w:rsid w:val="003F5410"/>
    <w:rsid w:val="00413CB8"/>
    <w:rsid w:val="00427C82"/>
    <w:rsid w:val="004527FD"/>
    <w:rsid w:val="00495217"/>
    <w:rsid w:val="004A3B02"/>
    <w:rsid w:val="004B05CC"/>
    <w:rsid w:val="004B2DB8"/>
    <w:rsid w:val="004D114E"/>
    <w:rsid w:val="004E4F9D"/>
    <w:rsid w:val="004F0C27"/>
    <w:rsid w:val="004F75D9"/>
    <w:rsid w:val="00522121"/>
    <w:rsid w:val="005252BE"/>
    <w:rsid w:val="005258A0"/>
    <w:rsid w:val="00537B5C"/>
    <w:rsid w:val="00545BB3"/>
    <w:rsid w:val="0055171C"/>
    <w:rsid w:val="00556824"/>
    <w:rsid w:val="00580CF3"/>
    <w:rsid w:val="00596B55"/>
    <w:rsid w:val="005B4CB7"/>
    <w:rsid w:val="005E5147"/>
    <w:rsid w:val="00605BCB"/>
    <w:rsid w:val="00634F2C"/>
    <w:rsid w:val="0063578F"/>
    <w:rsid w:val="006A1502"/>
    <w:rsid w:val="006B7048"/>
    <w:rsid w:val="00731F95"/>
    <w:rsid w:val="00757D43"/>
    <w:rsid w:val="00763858"/>
    <w:rsid w:val="00781762"/>
    <w:rsid w:val="00787EA1"/>
    <w:rsid w:val="007A22D0"/>
    <w:rsid w:val="007A2C05"/>
    <w:rsid w:val="007A41ED"/>
    <w:rsid w:val="007A5CCB"/>
    <w:rsid w:val="007B15BC"/>
    <w:rsid w:val="007B19BB"/>
    <w:rsid w:val="007B76BD"/>
    <w:rsid w:val="007B7CC6"/>
    <w:rsid w:val="007D2764"/>
    <w:rsid w:val="007E0C44"/>
    <w:rsid w:val="007F49F3"/>
    <w:rsid w:val="0080119F"/>
    <w:rsid w:val="00801E98"/>
    <w:rsid w:val="00817E08"/>
    <w:rsid w:val="00831D6A"/>
    <w:rsid w:val="00832BA8"/>
    <w:rsid w:val="00837B94"/>
    <w:rsid w:val="00863DFC"/>
    <w:rsid w:val="00864B93"/>
    <w:rsid w:val="00867CD4"/>
    <w:rsid w:val="00896039"/>
    <w:rsid w:val="009055F9"/>
    <w:rsid w:val="009159AC"/>
    <w:rsid w:val="00915FF4"/>
    <w:rsid w:val="00916BB2"/>
    <w:rsid w:val="0092285A"/>
    <w:rsid w:val="009276B6"/>
    <w:rsid w:val="009279A3"/>
    <w:rsid w:val="00932175"/>
    <w:rsid w:val="00944272"/>
    <w:rsid w:val="00956C8F"/>
    <w:rsid w:val="00962EEE"/>
    <w:rsid w:val="009656FF"/>
    <w:rsid w:val="00985D31"/>
    <w:rsid w:val="009B2669"/>
    <w:rsid w:val="009B699B"/>
    <w:rsid w:val="009D08DE"/>
    <w:rsid w:val="009D5C01"/>
    <w:rsid w:val="009E189B"/>
    <w:rsid w:val="009F3A9B"/>
    <w:rsid w:val="00A0040E"/>
    <w:rsid w:val="00A3001F"/>
    <w:rsid w:val="00A51D5C"/>
    <w:rsid w:val="00A616F9"/>
    <w:rsid w:val="00A64BEC"/>
    <w:rsid w:val="00A80566"/>
    <w:rsid w:val="00A8431B"/>
    <w:rsid w:val="00AB1041"/>
    <w:rsid w:val="00AC3797"/>
    <w:rsid w:val="00AD60D3"/>
    <w:rsid w:val="00AE5674"/>
    <w:rsid w:val="00AE70BC"/>
    <w:rsid w:val="00B2523C"/>
    <w:rsid w:val="00B308EA"/>
    <w:rsid w:val="00B9253B"/>
    <w:rsid w:val="00B97153"/>
    <w:rsid w:val="00BC3D34"/>
    <w:rsid w:val="00BC462D"/>
    <w:rsid w:val="00BC4C1D"/>
    <w:rsid w:val="00C074FE"/>
    <w:rsid w:val="00C11264"/>
    <w:rsid w:val="00C278E3"/>
    <w:rsid w:val="00C34354"/>
    <w:rsid w:val="00CA1D98"/>
    <w:rsid w:val="00CA42BE"/>
    <w:rsid w:val="00CA516A"/>
    <w:rsid w:val="00CD2FC0"/>
    <w:rsid w:val="00D32BB3"/>
    <w:rsid w:val="00D54143"/>
    <w:rsid w:val="00D54AC5"/>
    <w:rsid w:val="00D56E57"/>
    <w:rsid w:val="00D65FDA"/>
    <w:rsid w:val="00D71A86"/>
    <w:rsid w:val="00D86494"/>
    <w:rsid w:val="00DA0C3C"/>
    <w:rsid w:val="00DC3478"/>
    <w:rsid w:val="00DF25C7"/>
    <w:rsid w:val="00E341AB"/>
    <w:rsid w:val="00E55D89"/>
    <w:rsid w:val="00E74565"/>
    <w:rsid w:val="00E76E2B"/>
    <w:rsid w:val="00ED0B3E"/>
    <w:rsid w:val="00ED390F"/>
    <w:rsid w:val="00ED6470"/>
    <w:rsid w:val="00EF00FB"/>
    <w:rsid w:val="00EF032B"/>
    <w:rsid w:val="00F05EAA"/>
    <w:rsid w:val="00F40714"/>
    <w:rsid w:val="00F47229"/>
    <w:rsid w:val="00F77065"/>
    <w:rsid w:val="00F878A3"/>
    <w:rsid w:val="00F9242E"/>
    <w:rsid w:val="00F92A66"/>
    <w:rsid w:val="00FA710C"/>
    <w:rsid w:val="00FB6C9D"/>
    <w:rsid w:val="00FE6F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C0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5C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D5C01"/>
    <w:pPr>
      <w:ind w:leftChars="200" w:left="480"/>
    </w:pPr>
  </w:style>
  <w:style w:type="paragraph" w:customStyle="1" w:styleId="KWBodytext">
    <w:name w:val="K&amp;W Body text"/>
    <w:basedOn w:val="a"/>
    <w:rsid w:val="009D5C01"/>
    <w:pPr>
      <w:widowControl/>
      <w:spacing w:after="360" w:line="320" w:lineRule="atLeast"/>
      <w:ind w:firstLineChars="200" w:firstLine="200"/>
      <w:jc w:val="both"/>
    </w:pPr>
    <w:rPr>
      <w:rFonts w:ascii="Arial" w:eastAsia="KaiTi_GB2312" w:hAnsi="Arial" w:cs="Times New Roman"/>
      <w:kern w:val="0"/>
      <w:szCs w:val="20"/>
      <w:lang w:eastAsia="en-US"/>
    </w:rPr>
  </w:style>
  <w:style w:type="paragraph" w:customStyle="1" w:styleId="CharChar2CharCharCharChar">
    <w:name w:val="Char Char2 Char Char Char Char"/>
    <w:basedOn w:val="a"/>
    <w:rsid w:val="00864B93"/>
    <w:pPr>
      <w:jc w:val="both"/>
    </w:pPr>
    <w:rPr>
      <w:rFonts w:ascii="Tahoma" w:eastAsia="SimSun" w:hAnsi="Tahoma" w:cs="Times New Roman"/>
      <w:szCs w:val="20"/>
      <w:lang w:eastAsia="zh-CN"/>
    </w:rPr>
  </w:style>
  <w:style w:type="paragraph" w:customStyle="1" w:styleId="1">
    <w:name w:val="列出段落1"/>
    <w:basedOn w:val="a"/>
    <w:uiPriority w:val="34"/>
    <w:qFormat/>
    <w:rsid w:val="00864B93"/>
    <w:pPr>
      <w:widowControl/>
      <w:spacing w:line="360" w:lineRule="auto"/>
      <w:ind w:firstLineChars="200" w:firstLine="420"/>
    </w:pPr>
    <w:rPr>
      <w:rFonts w:ascii="Calibri" w:eastAsia="SimSun" w:hAnsi="Calibri" w:cs="Times New Roman"/>
      <w:sz w:val="21"/>
      <w:lang w:eastAsia="zh-CN"/>
    </w:rPr>
  </w:style>
  <w:style w:type="paragraph" w:styleId="a5">
    <w:name w:val="header"/>
    <w:basedOn w:val="a"/>
    <w:link w:val="Char"/>
    <w:uiPriority w:val="99"/>
    <w:unhideWhenUsed/>
    <w:rsid w:val="00AB1041"/>
    <w:pPr>
      <w:tabs>
        <w:tab w:val="center" w:pos="4153"/>
        <w:tab w:val="right" w:pos="8306"/>
      </w:tabs>
      <w:snapToGrid w:val="0"/>
    </w:pPr>
    <w:rPr>
      <w:sz w:val="20"/>
      <w:szCs w:val="20"/>
    </w:rPr>
  </w:style>
  <w:style w:type="character" w:customStyle="1" w:styleId="Char">
    <w:name w:val="页眉 Char"/>
    <w:basedOn w:val="a0"/>
    <w:link w:val="a5"/>
    <w:uiPriority w:val="99"/>
    <w:rsid w:val="00AB1041"/>
    <w:rPr>
      <w:sz w:val="20"/>
      <w:szCs w:val="20"/>
    </w:rPr>
  </w:style>
  <w:style w:type="paragraph" w:styleId="a6">
    <w:name w:val="footer"/>
    <w:basedOn w:val="a"/>
    <w:link w:val="Char0"/>
    <w:uiPriority w:val="99"/>
    <w:unhideWhenUsed/>
    <w:rsid w:val="00AB1041"/>
    <w:pPr>
      <w:tabs>
        <w:tab w:val="center" w:pos="4153"/>
        <w:tab w:val="right" w:pos="8306"/>
      </w:tabs>
      <w:snapToGrid w:val="0"/>
    </w:pPr>
    <w:rPr>
      <w:sz w:val="20"/>
      <w:szCs w:val="20"/>
    </w:rPr>
  </w:style>
  <w:style w:type="character" w:customStyle="1" w:styleId="Char0">
    <w:name w:val="页脚 Char"/>
    <w:basedOn w:val="a0"/>
    <w:link w:val="a6"/>
    <w:uiPriority w:val="99"/>
    <w:rsid w:val="00AB1041"/>
    <w:rPr>
      <w:sz w:val="20"/>
      <w:szCs w:val="20"/>
    </w:rPr>
  </w:style>
  <w:style w:type="paragraph" w:customStyle="1" w:styleId="CharChar2CharCharCharChar0">
    <w:name w:val="Char Char2 Char Char Char Char"/>
    <w:basedOn w:val="a"/>
    <w:rsid w:val="00F9242E"/>
    <w:pPr>
      <w:jc w:val="both"/>
    </w:pPr>
    <w:rPr>
      <w:rFonts w:ascii="Tahoma" w:eastAsia="SimSun" w:hAnsi="Tahoma" w:cs="Times New Roman"/>
      <w:szCs w:val="20"/>
      <w:lang w:eastAsia="zh-CN"/>
    </w:rPr>
  </w:style>
  <w:style w:type="paragraph" w:customStyle="1" w:styleId="CharChar2CharCharCharChar1">
    <w:name w:val="Char Char2 Char Char Char Char"/>
    <w:basedOn w:val="a"/>
    <w:rsid w:val="0092285A"/>
    <w:pPr>
      <w:jc w:val="both"/>
    </w:pPr>
    <w:rPr>
      <w:rFonts w:ascii="Tahoma" w:eastAsia="SimSun" w:hAnsi="Tahoma" w:cs="Times New Roman"/>
      <w:szCs w:val="20"/>
      <w:lang w:eastAsia="zh-CN"/>
    </w:rPr>
  </w:style>
  <w:style w:type="paragraph" w:customStyle="1" w:styleId="15">
    <w:name w:val="標題15_分中"/>
    <w:basedOn w:val="a"/>
    <w:rsid w:val="00580CF3"/>
    <w:pPr>
      <w:widowControl/>
      <w:tabs>
        <w:tab w:val="left" w:pos="936"/>
        <w:tab w:val="left" w:pos="1559"/>
        <w:tab w:val="left" w:pos="2183"/>
        <w:tab w:val="left" w:pos="2807"/>
      </w:tabs>
      <w:adjustRightInd w:val="0"/>
      <w:spacing w:after="720" w:line="360" w:lineRule="atLeast"/>
      <w:jc w:val="center"/>
      <w:textAlignment w:val="baseline"/>
    </w:pPr>
    <w:rPr>
      <w:rFonts w:ascii="Times New Roman" w:eastAsia="華康細明體" w:hAnsi="Times New Roman" w:cs="Times New Roman"/>
      <w:b/>
      <w:bCs/>
      <w:spacing w:val="30"/>
      <w:kern w:val="0"/>
      <w:sz w:val="30"/>
      <w:szCs w:val="20"/>
    </w:rPr>
  </w:style>
  <w:style w:type="paragraph" w:customStyle="1" w:styleId="CharChar2CharCharCharCharCharChar">
    <w:name w:val="Char Char2 Char Char Char Char Char Char"/>
    <w:basedOn w:val="a"/>
    <w:rsid w:val="009B2669"/>
    <w:pPr>
      <w:jc w:val="both"/>
    </w:pPr>
    <w:rPr>
      <w:rFonts w:ascii="Tahoma" w:eastAsia="SimSun" w:hAnsi="Tahoma" w:cs="Times New Roman"/>
      <w:szCs w:val="20"/>
      <w:lang w:eastAsia="zh-CN"/>
    </w:rPr>
  </w:style>
  <w:style w:type="paragraph" w:customStyle="1" w:styleId="KWheading1">
    <w:name w:val="K&amp;W heading 1"/>
    <w:basedOn w:val="a"/>
    <w:next w:val="KWBodytext"/>
    <w:rsid w:val="00F40714"/>
    <w:pPr>
      <w:numPr>
        <w:numId w:val="16"/>
      </w:numPr>
      <w:spacing w:after="360" w:line="320" w:lineRule="exact"/>
      <w:jc w:val="both"/>
      <w:outlineLvl w:val="0"/>
    </w:pPr>
    <w:rPr>
      <w:rFonts w:ascii="Arial" w:eastAsia="KaiTi_GB2312" w:hAnsi="Arial" w:cs="Times New Roman"/>
      <w:b/>
      <w:kern w:val="0"/>
      <w:sz w:val="28"/>
      <w:szCs w:val="20"/>
      <w:lang w:eastAsia="en-US"/>
    </w:rPr>
  </w:style>
  <w:style w:type="paragraph" w:customStyle="1" w:styleId="KWheading2">
    <w:name w:val="K&amp;W heading 2"/>
    <w:basedOn w:val="a"/>
    <w:next w:val="KWBodytext"/>
    <w:rsid w:val="00F40714"/>
    <w:pPr>
      <w:numPr>
        <w:ilvl w:val="1"/>
        <w:numId w:val="16"/>
      </w:numPr>
      <w:spacing w:after="360" w:line="320" w:lineRule="exact"/>
      <w:jc w:val="both"/>
      <w:outlineLvl w:val="1"/>
    </w:pPr>
    <w:rPr>
      <w:rFonts w:ascii="Arial" w:eastAsia="KaiTi_GB2312" w:hAnsi="Arial" w:cs="Times New Roman"/>
      <w:kern w:val="0"/>
      <w:szCs w:val="20"/>
      <w:lang w:eastAsia="en-US"/>
    </w:rPr>
  </w:style>
  <w:style w:type="paragraph" w:customStyle="1" w:styleId="KWheading3">
    <w:name w:val="K&amp;W heading 3"/>
    <w:basedOn w:val="a"/>
    <w:rsid w:val="00F40714"/>
    <w:pPr>
      <w:widowControl/>
      <w:numPr>
        <w:ilvl w:val="2"/>
        <w:numId w:val="16"/>
      </w:numPr>
      <w:spacing w:after="360" w:line="320" w:lineRule="exact"/>
      <w:jc w:val="both"/>
      <w:outlineLvl w:val="2"/>
    </w:pPr>
    <w:rPr>
      <w:rFonts w:ascii="Arial" w:eastAsia="KaiTi_GB2312" w:hAnsi="Arial" w:cs="Times New Roman"/>
      <w:kern w:val="0"/>
      <w:szCs w:val="20"/>
      <w:lang w:eastAsia="en-US"/>
    </w:rPr>
  </w:style>
  <w:style w:type="paragraph" w:customStyle="1" w:styleId="KWheading4">
    <w:name w:val="K&amp;W heading 4"/>
    <w:basedOn w:val="a"/>
    <w:rsid w:val="00F40714"/>
    <w:pPr>
      <w:widowControl/>
      <w:numPr>
        <w:ilvl w:val="3"/>
        <w:numId w:val="16"/>
      </w:numPr>
      <w:spacing w:after="360" w:line="320" w:lineRule="exact"/>
      <w:jc w:val="both"/>
      <w:outlineLvl w:val="3"/>
    </w:pPr>
    <w:rPr>
      <w:rFonts w:ascii="Arial" w:eastAsia="KaiTi_GB2312" w:hAnsi="Arial" w:cs="Times New Roman"/>
      <w:kern w:val="0"/>
      <w:szCs w:val="20"/>
      <w:lang w:eastAsia="en-US"/>
    </w:rPr>
  </w:style>
  <w:style w:type="paragraph" w:customStyle="1" w:styleId="KWheading5">
    <w:name w:val="K&amp;W heading 5"/>
    <w:basedOn w:val="a"/>
    <w:rsid w:val="00F40714"/>
    <w:pPr>
      <w:widowControl/>
      <w:numPr>
        <w:ilvl w:val="4"/>
        <w:numId w:val="16"/>
      </w:numPr>
      <w:spacing w:after="360" w:line="320" w:lineRule="exact"/>
      <w:jc w:val="both"/>
      <w:outlineLvl w:val="4"/>
    </w:pPr>
    <w:rPr>
      <w:rFonts w:ascii="Arial" w:eastAsia="KaiTi_GB2312" w:hAnsi="Arial" w:cs="Times New Roman"/>
      <w:kern w:val="0"/>
      <w:szCs w:val="20"/>
      <w:lang w:eastAsia="en-US"/>
    </w:rPr>
  </w:style>
  <w:style w:type="paragraph" w:customStyle="1" w:styleId="Body">
    <w:name w:val="Body"/>
    <w:basedOn w:val="a"/>
    <w:semiHidden/>
    <w:rsid w:val="00EF00FB"/>
    <w:pPr>
      <w:widowControl/>
      <w:spacing w:after="240"/>
    </w:pPr>
    <w:rPr>
      <w:rFonts w:ascii="Arial" w:eastAsia="KaiTi_GB2312" w:hAnsi="Arial" w:cs="Times New Roman"/>
      <w:color w:val="000000"/>
      <w:kern w:val="0"/>
      <w:szCs w:val="20"/>
      <w:lang w:eastAsia="en-US"/>
    </w:rPr>
  </w:style>
  <w:style w:type="paragraph" w:customStyle="1" w:styleId="KWListNumber">
    <w:name w:val="K&amp;W List Number"/>
    <w:basedOn w:val="a"/>
    <w:rsid w:val="00FE6F4D"/>
    <w:pPr>
      <w:widowControl/>
      <w:numPr>
        <w:numId w:val="17"/>
      </w:numPr>
      <w:spacing w:after="360" w:line="320" w:lineRule="atLeast"/>
      <w:jc w:val="both"/>
    </w:pPr>
    <w:rPr>
      <w:rFonts w:ascii="Arial" w:eastAsia="KaiTi_GB2312" w:hAnsi="Arial" w:cs="Times New Roman"/>
      <w:color w:val="000000"/>
      <w:kern w:val="0"/>
      <w:szCs w:val="20"/>
      <w:lang w:eastAsia="en-US"/>
    </w:rPr>
  </w:style>
  <w:style w:type="paragraph" w:styleId="a7">
    <w:name w:val="Balloon Text"/>
    <w:basedOn w:val="a"/>
    <w:link w:val="Char1"/>
    <w:uiPriority w:val="99"/>
    <w:semiHidden/>
    <w:unhideWhenUsed/>
    <w:rsid w:val="00545BB3"/>
    <w:rPr>
      <w:rFonts w:asciiTheme="majorHAnsi" w:eastAsiaTheme="majorEastAsia" w:hAnsiTheme="majorHAnsi" w:cstheme="majorBidi"/>
      <w:sz w:val="18"/>
      <w:szCs w:val="18"/>
    </w:rPr>
  </w:style>
  <w:style w:type="character" w:customStyle="1" w:styleId="Char1">
    <w:name w:val="批注框文本 Char"/>
    <w:basedOn w:val="a0"/>
    <w:link w:val="a7"/>
    <w:uiPriority w:val="99"/>
    <w:semiHidden/>
    <w:rsid w:val="00545BB3"/>
    <w:rPr>
      <w:rFonts w:asciiTheme="majorHAnsi" w:eastAsiaTheme="majorEastAsia" w:hAnsiTheme="majorHAnsi" w:cstheme="majorBidi"/>
      <w:sz w:val="18"/>
      <w:szCs w:val="18"/>
    </w:rPr>
  </w:style>
  <w:style w:type="paragraph" w:customStyle="1" w:styleId="CharChar31">
    <w:name w:val="Char Char31"/>
    <w:basedOn w:val="a"/>
    <w:rsid w:val="003878DF"/>
    <w:pPr>
      <w:jc w:val="both"/>
    </w:pPr>
    <w:rPr>
      <w:rFonts w:ascii="Tahoma" w:eastAsia="SimSun" w:hAnsi="Tahoma" w:cs="Times New Roman"/>
      <w:szCs w:val="20"/>
      <w:lang w:eastAsia="zh-CN"/>
    </w:rPr>
  </w:style>
  <w:style w:type="paragraph" w:styleId="a8">
    <w:name w:val="footnote text"/>
    <w:basedOn w:val="a"/>
    <w:link w:val="Char2"/>
    <w:rsid w:val="00916BB2"/>
    <w:pPr>
      <w:snapToGrid w:val="0"/>
    </w:pPr>
    <w:rPr>
      <w:rFonts w:ascii="Times New Roman" w:eastAsia="SimSun" w:hAnsi="Times New Roman" w:cs="Times New Roman"/>
      <w:sz w:val="18"/>
      <w:szCs w:val="18"/>
      <w:lang w:eastAsia="zh-CN"/>
    </w:rPr>
  </w:style>
  <w:style w:type="character" w:customStyle="1" w:styleId="Char2">
    <w:name w:val="脚注文本 Char"/>
    <w:basedOn w:val="a0"/>
    <w:link w:val="a8"/>
    <w:rsid w:val="00916BB2"/>
    <w:rPr>
      <w:rFonts w:ascii="Times New Roman" w:eastAsia="SimSun" w:hAnsi="Times New Roman" w:cs="Times New Roman"/>
      <w:sz w:val="18"/>
      <w:szCs w:val="18"/>
      <w:lang w:eastAsia="zh-CN"/>
    </w:rPr>
  </w:style>
  <w:style w:type="character" w:styleId="a9">
    <w:name w:val="footnote reference"/>
    <w:rsid w:val="00916BB2"/>
    <w:rPr>
      <w:vertAlign w:val="superscript"/>
    </w:rPr>
  </w:style>
  <w:style w:type="paragraph" w:customStyle="1" w:styleId="CharChar310">
    <w:name w:val="Char Char31"/>
    <w:basedOn w:val="a"/>
    <w:rsid w:val="00916BB2"/>
    <w:pPr>
      <w:jc w:val="both"/>
    </w:pPr>
    <w:rPr>
      <w:rFonts w:ascii="Tahoma" w:eastAsia="SimSun" w:hAnsi="Tahoma" w:cs="Times New Roman"/>
      <w:szCs w:val="20"/>
      <w:lang w:eastAsia="zh-CN"/>
    </w:rPr>
  </w:style>
  <w:style w:type="paragraph" w:customStyle="1" w:styleId="CharChar311">
    <w:name w:val="Char Char31"/>
    <w:basedOn w:val="a"/>
    <w:rsid w:val="000B2022"/>
    <w:pPr>
      <w:jc w:val="both"/>
    </w:pPr>
    <w:rPr>
      <w:rFonts w:ascii="Tahoma" w:eastAsia="SimSun" w:hAnsi="Tahoma" w:cs="Times New Roman"/>
      <w:szCs w:val="20"/>
      <w:lang w:eastAsia="zh-CN"/>
    </w:rPr>
  </w:style>
  <w:style w:type="paragraph" w:customStyle="1" w:styleId="CharChar312">
    <w:name w:val="Char Char31"/>
    <w:basedOn w:val="a"/>
    <w:rsid w:val="00C11264"/>
    <w:pPr>
      <w:jc w:val="both"/>
    </w:pPr>
    <w:rPr>
      <w:rFonts w:ascii="Tahoma" w:eastAsia="SimSun" w:hAnsi="Tahoma" w:cs="Times New Roman"/>
      <w:szCs w:val="20"/>
      <w:lang w:eastAsia="zh-CN"/>
    </w:rPr>
  </w:style>
  <w:style w:type="character" w:customStyle="1" w:styleId="st1">
    <w:name w:val="st1"/>
    <w:basedOn w:val="a0"/>
    <w:rsid w:val="00596B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C0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5C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D5C01"/>
    <w:pPr>
      <w:ind w:leftChars="200" w:left="480"/>
    </w:pPr>
  </w:style>
  <w:style w:type="paragraph" w:customStyle="1" w:styleId="KWBodytext">
    <w:name w:val="K&amp;W Body text"/>
    <w:basedOn w:val="a"/>
    <w:rsid w:val="009D5C01"/>
    <w:pPr>
      <w:widowControl/>
      <w:spacing w:after="360" w:line="320" w:lineRule="atLeast"/>
      <w:ind w:firstLineChars="200" w:firstLine="200"/>
      <w:jc w:val="both"/>
    </w:pPr>
    <w:rPr>
      <w:rFonts w:ascii="Arial" w:eastAsia="KaiTi_GB2312" w:hAnsi="Arial" w:cs="Times New Roman"/>
      <w:kern w:val="0"/>
      <w:szCs w:val="20"/>
      <w:lang w:eastAsia="en-US"/>
    </w:rPr>
  </w:style>
  <w:style w:type="paragraph" w:customStyle="1" w:styleId="CharChar2CharCharCharChar">
    <w:name w:val="Char Char2 Char Char Char Char"/>
    <w:basedOn w:val="a"/>
    <w:rsid w:val="00864B93"/>
    <w:pPr>
      <w:jc w:val="both"/>
    </w:pPr>
    <w:rPr>
      <w:rFonts w:ascii="Tahoma" w:eastAsia="SimSun" w:hAnsi="Tahoma" w:cs="Times New Roman"/>
      <w:szCs w:val="20"/>
      <w:lang w:eastAsia="zh-CN"/>
    </w:rPr>
  </w:style>
  <w:style w:type="paragraph" w:customStyle="1" w:styleId="1">
    <w:name w:val="列出段落1"/>
    <w:basedOn w:val="a"/>
    <w:uiPriority w:val="34"/>
    <w:qFormat/>
    <w:rsid w:val="00864B93"/>
    <w:pPr>
      <w:widowControl/>
      <w:spacing w:line="360" w:lineRule="auto"/>
      <w:ind w:firstLineChars="200" w:firstLine="420"/>
    </w:pPr>
    <w:rPr>
      <w:rFonts w:ascii="Calibri" w:eastAsia="SimSun" w:hAnsi="Calibri" w:cs="Times New Roman"/>
      <w:sz w:val="21"/>
      <w:lang w:eastAsia="zh-CN"/>
    </w:rPr>
  </w:style>
  <w:style w:type="paragraph" w:styleId="a5">
    <w:name w:val="header"/>
    <w:basedOn w:val="a"/>
    <w:link w:val="Char"/>
    <w:uiPriority w:val="99"/>
    <w:unhideWhenUsed/>
    <w:rsid w:val="00AB1041"/>
    <w:pPr>
      <w:tabs>
        <w:tab w:val="center" w:pos="4153"/>
        <w:tab w:val="right" w:pos="8306"/>
      </w:tabs>
      <w:snapToGrid w:val="0"/>
    </w:pPr>
    <w:rPr>
      <w:sz w:val="20"/>
      <w:szCs w:val="20"/>
    </w:rPr>
  </w:style>
  <w:style w:type="character" w:customStyle="1" w:styleId="Char">
    <w:name w:val="页眉 Char"/>
    <w:basedOn w:val="a0"/>
    <w:link w:val="a5"/>
    <w:uiPriority w:val="99"/>
    <w:rsid w:val="00AB1041"/>
    <w:rPr>
      <w:sz w:val="20"/>
      <w:szCs w:val="20"/>
    </w:rPr>
  </w:style>
  <w:style w:type="paragraph" w:styleId="a6">
    <w:name w:val="footer"/>
    <w:basedOn w:val="a"/>
    <w:link w:val="Char0"/>
    <w:uiPriority w:val="99"/>
    <w:unhideWhenUsed/>
    <w:rsid w:val="00AB1041"/>
    <w:pPr>
      <w:tabs>
        <w:tab w:val="center" w:pos="4153"/>
        <w:tab w:val="right" w:pos="8306"/>
      </w:tabs>
      <w:snapToGrid w:val="0"/>
    </w:pPr>
    <w:rPr>
      <w:sz w:val="20"/>
      <w:szCs w:val="20"/>
    </w:rPr>
  </w:style>
  <w:style w:type="character" w:customStyle="1" w:styleId="Char0">
    <w:name w:val="页脚 Char"/>
    <w:basedOn w:val="a0"/>
    <w:link w:val="a6"/>
    <w:uiPriority w:val="99"/>
    <w:rsid w:val="00AB1041"/>
    <w:rPr>
      <w:sz w:val="20"/>
      <w:szCs w:val="20"/>
    </w:rPr>
  </w:style>
  <w:style w:type="paragraph" w:customStyle="1" w:styleId="CharChar2CharCharCharChar0">
    <w:name w:val="Char Char2 Char Char Char Char"/>
    <w:basedOn w:val="a"/>
    <w:rsid w:val="00F9242E"/>
    <w:pPr>
      <w:jc w:val="both"/>
    </w:pPr>
    <w:rPr>
      <w:rFonts w:ascii="Tahoma" w:eastAsia="SimSun" w:hAnsi="Tahoma" w:cs="Times New Roman"/>
      <w:szCs w:val="20"/>
      <w:lang w:eastAsia="zh-CN"/>
    </w:rPr>
  </w:style>
  <w:style w:type="paragraph" w:customStyle="1" w:styleId="CharChar2CharCharCharChar1">
    <w:name w:val="Char Char2 Char Char Char Char"/>
    <w:basedOn w:val="a"/>
    <w:rsid w:val="0092285A"/>
    <w:pPr>
      <w:jc w:val="both"/>
    </w:pPr>
    <w:rPr>
      <w:rFonts w:ascii="Tahoma" w:eastAsia="SimSun" w:hAnsi="Tahoma" w:cs="Times New Roman"/>
      <w:szCs w:val="20"/>
      <w:lang w:eastAsia="zh-CN"/>
    </w:rPr>
  </w:style>
  <w:style w:type="paragraph" w:customStyle="1" w:styleId="15">
    <w:name w:val="標題15_分中"/>
    <w:basedOn w:val="a"/>
    <w:rsid w:val="00580CF3"/>
    <w:pPr>
      <w:widowControl/>
      <w:tabs>
        <w:tab w:val="left" w:pos="936"/>
        <w:tab w:val="left" w:pos="1559"/>
        <w:tab w:val="left" w:pos="2183"/>
        <w:tab w:val="left" w:pos="2807"/>
      </w:tabs>
      <w:adjustRightInd w:val="0"/>
      <w:spacing w:after="720" w:line="360" w:lineRule="atLeast"/>
      <w:jc w:val="center"/>
      <w:textAlignment w:val="baseline"/>
    </w:pPr>
    <w:rPr>
      <w:rFonts w:ascii="Times New Roman" w:eastAsia="華康細明體" w:hAnsi="Times New Roman" w:cs="Times New Roman"/>
      <w:b/>
      <w:bCs/>
      <w:spacing w:val="30"/>
      <w:kern w:val="0"/>
      <w:sz w:val="30"/>
      <w:szCs w:val="20"/>
    </w:rPr>
  </w:style>
  <w:style w:type="paragraph" w:customStyle="1" w:styleId="CharChar2CharCharCharCharCharChar">
    <w:name w:val="Char Char2 Char Char Char Char Char Char"/>
    <w:basedOn w:val="a"/>
    <w:rsid w:val="009B2669"/>
    <w:pPr>
      <w:jc w:val="both"/>
    </w:pPr>
    <w:rPr>
      <w:rFonts w:ascii="Tahoma" w:eastAsia="SimSun" w:hAnsi="Tahoma" w:cs="Times New Roman"/>
      <w:szCs w:val="20"/>
      <w:lang w:eastAsia="zh-CN"/>
    </w:rPr>
  </w:style>
  <w:style w:type="paragraph" w:customStyle="1" w:styleId="KWheading1">
    <w:name w:val="K&amp;W heading 1"/>
    <w:basedOn w:val="a"/>
    <w:next w:val="KWBodytext"/>
    <w:rsid w:val="00F40714"/>
    <w:pPr>
      <w:numPr>
        <w:numId w:val="16"/>
      </w:numPr>
      <w:spacing w:after="360" w:line="320" w:lineRule="exact"/>
      <w:jc w:val="both"/>
      <w:outlineLvl w:val="0"/>
    </w:pPr>
    <w:rPr>
      <w:rFonts w:ascii="Arial" w:eastAsia="KaiTi_GB2312" w:hAnsi="Arial" w:cs="Times New Roman"/>
      <w:b/>
      <w:kern w:val="0"/>
      <w:sz w:val="28"/>
      <w:szCs w:val="20"/>
      <w:lang w:eastAsia="en-US"/>
    </w:rPr>
  </w:style>
  <w:style w:type="paragraph" w:customStyle="1" w:styleId="KWheading2">
    <w:name w:val="K&amp;W heading 2"/>
    <w:basedOn w:val="a"/>
    <w:next w:val="KWBodytext"/>
    <w:rsid w:val="00F40714"/>
    <w:pPr>
      <w:numPr>
        <w:ilvl w:val="1"/>
        <w:numId w:val="16"/>
      </w:numPr>
      <w:spacing w:after="360" w:line="320" w:lineRule="exact"/>
      <w:jc w:val="both"/>
      <w:outlineLvl w:val="1"/>
    </w:pPr>
    <w:rPr>
      <w:rFonts w:ascii="Arial" w:eastAsia="KaiTi_GB2312" w:hAnsi="Arial" w:cs="Times New Roman"/>
      <w:kern w:val="0"/>
      <w:szCs w:val="20"/>
      <w:lang w:eastAsia="en-US"/>
    </w:rPr>
  </w:style>
  <w:style w:type="paragraph" w:customStyle="1" w:styleId="KWheading3">
    <w:name w:val="K&amp;W heading 3"/>
    <w:basedOn w:val="a"/>
    <w:rsid w:val="00F40714"/>
    <w:pPr>
      <w:widowControl/>
      <w:numPr>
        <w:ilvl w:val="2"/>
        <w:numId w:val="16"/>
      </w:numPr>
      <w:spacing w:after="360" w:line="320" w:lineRule="exact"/>
      <w:jc w:val="both"/>
      <w:outlineLvl w:val="2"/>
    </w:pPr>
    <w:rPr>
      <w:rFonts w:ascii="Arial" w:eastAsia="KaiTi_GB2312" w:hAnsi="Arial" w:cs="Times New Roman"/>
      <w:kern w:val="0"/>
      <w:szCs w:val="20"/>
      <w:lang w:eastAsia="en-US"/>
    </w:rPr>
  </w:style>
  <w:style w:type="paragraph" w:customStyle="1" w:styleId="KWheading4">
    <w:name w:val="K&amp;W heading 4"/>
    <w:basedOn w:val="a"/>
    <w:rsid w:val="00F40714"/>
    <w:pPr>
      <w:widowControl/>
      <w:numPr>
        <w:ilvl w:val="3"/>
        <w:numId w:val="16"/>
      </w:numPr>
      <w:spacing w:after="360" w:line="320" w:lineRule="exact"/>
      <w:jc w:val="both"/>
      <w:outlineLvl w:val="3"/>
    </w:pPr>
    <w:rPr>
      <w:rFonts w:ascii="Arial" w:eastAsia="KaiTi_GB2312" w:hAnsi="Arial" w:cs="Times New Roman"/>
      <w:kern w:val="0"/>
      <w:szCs w:val="20"/>
      <w:lang w:eastAsia="en-US"/>
    </w:rPr>
  </w:style>
  <w:style w:type="paragraph" w:customStyle="1" w:styleId="KWheading5">
    <w:name w:val="K&amp;W heading 5"/>
    <w:basedOn w:val="a"/>
    <w:rsid w:val="00F40714"/>
    <w:pPr>
      <w:widowControl/>
      <w:numPr>
        <w:ilvl w:val="4"/>
        <w:numId w:val="16"/>
      </w:numPr>
      <w:spacing w:after="360" w:line="320" w:lineRule="exact"/>
      <w:jc w:val="both"/>
      <w:outlineLvl w:val="4"/>
    </w:pPr>
    <w:rPr>
      <w:rFonts w:ascii="Arial" w:eastAsia="KaiTi_GB2312" w:hAnsi="Arial" w:cs="Times New Roman"/>
      <w:kern w:val="0"/>
      <w:szCs w:val="20"/>
      <w:lang w:eastAsia="en-US"/>
    </w:rPr>
  </w:style>
  <w:style w:type="paragraph" w:customStyle="1" w:styleId="Body">
    <w:name w:val="Body"/>
    <w:basedOn w:val="a"/>
    <w:semiHidden/>
    <w:rsid w:val="00EF00FB"/>
    <w:pPr>
      <w:widowControl/>
      <w:spacing w:after="240"/>
    </w:pPr>
    <w:rPr>
      <w:rFonts w:ascii="Arial" w:eastAsia="KaiTi_GB2312" w:hAnsi="Arial" w:cs="Times New Roman"/>
      <w:color w:val="000000"/>
      <w:kern w:val="0"/>
      <w:szCs w:val="20"/>
      <w:lang w:eastAsia="en-US"/>
    </w:rPr>
  </w:style>
  <w:style w:type="paragraph" w:customStyle="1" w:styleId="KWListNumber">
    <w:name w:val="K&amp;W List Number"/>
    <w:basedOn w:val="a"/>
    <w:rsid w:val="00FE6F4D"/>
    <w:pPr>
      <w:widowControl/>
      <w:numPr>
        <w:numId w:val="17"/>
      </w:numPr>
      <w:spacing w:after="360" w:line="320" w:lineRule="atLeast"/>
      <w:jc w:val="both"/>
    </w:pPr>
    <w:rPr>
      <w:rFonts w:ascii="Arial" w:eastAsia="KaiTi_GB2312" w:hAnsi="Arial" w:cs="Times New Roman"/>
      <w:color w:val="000000"/>
      <w:kern w:val="0"/>
      <w:szCs w:val="20"/>
      <w:lang w:eastAsia="en-US"/>
    </w:rPr>
  </w:style>
  <w:style w:type="paragraph" w:styleId="a7">
    <w:name w:val="Balloon Text"/>
    <w:basedOn w:val="a"/>
    <w:link w:val="Char1"/>
    <w:uiPriority w:val="99"/>
    <w:semiHidden/>
    <w:unhideWhenUsed/>
    <w:rsid w:val="00545BB3"/>
    <w:rPr>
      <w:rFonts w:asciiTheme="majorHAnsi" w:eastAsiaTheme="majorEastAsia" w:hAnsiTheme="majorHAnsi" w:cstheme="majorBidi"/>
      <w:sz w:val="18"/>
      <w:szCs w:val="18"/>
    </w:rPr>
  </w:style>
  <w:style w:type="character" w:customStyle="1" w:styleId="Char1">
    <w:name w:val="批注框文本 Char"/>
    <w:basedOn w:val="a0"/>
    <w:link w:val="a7"/>
    <w:uiPriority w:val="99"/>
    <w:semiHidden/>
    <w:rsid w:val="00545BB3"/>
    <w:rPr>
      <w:rFonts w:asciiTheme="majorHAnsi" w:eastAsiaTheme="majorEastAsia" w:hAnsiTheme="majorHAnsi" w:cstheme="majorBidi"/>
      <w:sz w:val="18"/>
      <w:szCs w:val="18"/>
    </w:rPr>
  </w:style>
  <w:style w:type="paragraph" w:customStyle="1" w:styleId="CharChar31">
    <w:name w:val="Char Char31"/>
    <w:basedOn w:val="a"/>
    <w:rsid w:val="003878DF"/>
    <w:pPr>
      <w:jc w:val="both"/>
    </w:pPr>
    <w:rPr>
      <w:rFonts w:ascii="Tahoma" w:eastAsia="SimSun" w:hAnsi="Tahoma" w:cs="Times New Roman"/>
      <w:szCs w:val="20"/>
      <w:lang w:eastAsia="zh-CN"/>
    </w:rPr>
  </w:style>
  <w:style w:type="paragraph" w:styleId="a8">
    <w:name w:val="footnote text"/>
    <w:basedOn w:val="a"/>
    <w:link w:val="Char2"/>
    <w:rsid w:val="00916BB2"/>
    <w:pPr>
      <w:snapToGrid w:val="0"/>
    </w:pPr>
    <w:rPr>
      <w:rFonts w:ascii="Times New Roman" w:eastAsia="SimSun" w:hAnsi="Times New Roman" w:cs="Times New Roman"/>
      <w:sz w:val="18"/>
      <w:szCs w:val="18"/>
      <w:lang w:eastAsia="zh-CN"/>
    </w:rPr>
  </w:style>
  <w:style w:type="character" w:customStyle="1" w:styleId="Char2">
    <w:name w:val="脚注文本 Char"/>
    <w:basedOn w:val="a0"/>
    <w:link w:val="a8"/>
    <w:rsid w:val="00916BB2"/>
    <w:rPr>
      <w:rFonts w:ascii="Times New Roman" w:eastAsia="SimSun" w:hAnsi="Times New Roman" w:cs="Times New Roman"/>
      <w:sz w:val="18"/>
      <w:szCs w:val="18"/>
      <w:lang w:eastAsia="zh-CN"/>
    </w:rPr>
  </w:style>
  <w:style w:type="character" w:styleId="a9">
    <w:name w:val="footnote reference"/>
    <w:rsid w:val="00916BB2"/>
    <w:rPr>
      <w:vertAlign w:val="superscript"/>
    </w:rPr>
  </w:style>
  <w:style w:type="paragraph" w:customStyle="1" w:styleId="CharChar310">
    <w:name w:val="Char Char31"/>
    <w:basedOn w:val="a"/>
    <w:rsid w:val="00916BB2"/>
    <w:pPr>
      <w:jc w:val="both"/>
    </w:pPr>
    <w:rPr>
      <w:rFonts w:ascii="Tahoma" w:eastAsia="SimSun" w:hAnsi="Tahoma" w:cs="Times New Roman"/>
      <w:szCs w:val="20"/>
      <w:lang w:eastAsia="zh-CN"/>
    </w:rPr>
  </w:style>
  <w:style w:type="paragraph" w:customStyle="1" w:styleId="CharChar311">
    <w:name w:val="Char Char31"/>
    <w:basedOn w:val="a"/>
    <w:rsid w:val="000B2022"/>
    <w:pPr>
      <w:jc w:val="both"/>
    </w:pPr>
    <w:rPr>
      <w:rFonts w:ascii="Tahoma" w:eastAsia="SimSun" w:hAnsi="Tahoma" w:cs="Times New Roman"/>
      <w:szCs w:val="20"/>
      <w:lang w:eastAsia="zh-CN"/>
    </w:rPr>
  </w:style>
  <w:style w:type="paragraph" w:customStyle="1" w:styleId="CharChar312">
    <w:name w:val="Char Char31"/>
    <w:basedOn w:val="a"/>
    <w:rsid w:val="00C11264"/>
    <w:pPr>
      <w:jc w:val="both"/>
    </w:pPr>
    <w:rPr>
      <w:rFonts w:ascii="Tahoma" w:eastAsia="SimSun" w:hAnsi="Tahoma" w:cs="Times New Roman"/>
      <w:szCs w:val="20"/>
      <w:lang w:eastAsia="zh-CN"/>
    </w:rPr>
  </w:style>
  <w:style w:type="character" w:customStyle="1" w:styleId="st1">
    <w:name w:val="st1"/>
    <w:basedOn w:val="a0"/>
    <w:rsid w:val="00596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3411764-F011-4728-8F7A-484EEFB42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184</Words>
  <Characters>1050</Characters>
  <Application>Microsoft Office Word</Application>
  <DocSecurity>0</DocSecurity>
  <Lines>8</Lines>
  <Paragraphs>2</Paragraphs>
  <ScaleCrop>false</ScaleCrop>
  <Company>HKSARG</Company>
  <LinksUpToDate>false</LinksUpToDate>
  <CharactersWithSpaces>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TID</dc:creator>
  <cp:lastModifiedBy>GDETO</cp:lastModifiedBy>
  <cp:revision>2</cp:revision>
  <cp:lastPrinted>2015-11-23T05:57:00Z</cp:lastPrinted>
  <dcterms:created xsi:type="dcterms:W3CDTF">2015-11-27T07:29:00Z</dcterms:created>
  <dcterms:modified xsi:type="dcterms:W3CDTF">2015-11-27T07:29:00Z</dcterms:modified>
</cp:coreProperties>
</file>