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66" w:rsidRPr="00AF7D06" w:rsidRDefault="00E1132D">
      <w:pPr>
        <w:jc w:val="center"/>
        <w:rPr>
          <w:rFonts w:eastAsia="標楷體"/>
          <w:b/>
          <w:bCs/>
          <w:color w:val="FF00FF"/>
          <w:sz w:val="40"/>
          <w:szCs w:val="40"/>
        </w:rPr>
      </w:pPr>
      <w:r w:rsidRPr="00AF7D06">
        <w:rPr>
          <w:rFonts w:eastAsia="標楷體"/>
          <w:b/>
          <w:bCs/>
          <w:color w:val="FF00FF"/>
          <w:sz w:val="40"/>
          <w:szCs w:val="40"/>
        </w:rPr>
        <w:t>***</w:t>
      </w:r>
      <w:r w:rsidR="005A0E24" w:rsidRPr="00AF7D06">
        <w:rPr>
          <w:rFonts w:eastAsia="標楷體"/>
          <w:b/>
          <w:bCs/>
          <w:color w:val="FF00FF"/>
          <w:sz w:val="40"/>
          <w:szCs w:val="40"/>
        </w:rPr>
        <w:t>2019</w:t>
      </w:r>
      <w:r w:rsidRPr="00AF7D06">
        <w:rPr>
          <w:rFonts w:eastAsia="標楷體"/>
          <w:b/>
          <w:bCs/>
          <w:color w:val="FF00FF"/>
          <w:sz w:val="40"/>
          <w:szCs w:val="40"/>
        </w:rPr>
        <w:t>年內地稅務政策專題講座</w:t>
      </w:r>
      <w:r w:rsidRPr="00AF7D06">
        <w:rPr>
          <w:rFonts w:eastAsia="標楷體"/>
          <w:b/>
          <w:bCs/>
          <w:color w:val="FF00FF"/>
          <w:sz w:val="40"/>
          <w:szCs w:val="40"/>
        </w:rPr>
        <w:t>***</w:t>
      </w:r>
    </w:p>
    <w:p w:rsidR="00D92F66" w:rsidRPr="00AF7D06" w:rsidRDefault="00E1132D">
      <w:pPr>
        <w:jc w:val="center"/>
        <w:rPr>
          <w:rFonts w:eastAsia="標楷體"/>
          <w:b/>
          <w:bCs/>
          <w:color w:val="FF00FF"/>
          <w:sz w:val="40"/>
          <w:szCs w:val="40"/>
        </w:rPr>
      </w:pPr>
      <w:r w:rsidRPr="00AF7D06">
        <w:rPr>
          <w:rFonts w:eastAsia="標楷體"/>
          <w:b/>
          <w:bCs/>
          <w:color w:val="FF00FF"/>
          <w:sz w:val="40"/>
          <w:szCs w:val="40"/>
        </w:rPr>
        <w:t>（廣州市）</w:t>
      </w:r>
    </w:p>
    <w:p w:rsidR="00D92F66" w:rsidRPr="00AF7D06" w:rsidRDefault="00D92F66">
      <w:pPr>
        <w:jc w:val="center"/>
        <w:rPr>
          <w:rFonts w:eastAsia="標楷體"/>
          <w:sz w:val="20"/>
          <w:szCs w:val="20"/>
        </w:rPr>
      </w:pPr>
    </w:p>
    <w:p w:rsidR="00706B90" w:rsidRPr="00AF7D06" w:rsidRDefault="00706B90" w:rsidP="00706B90">
      <w:pPr>
        <w:jc w:val="center"/>
        <w:rPr>
          <w:rFonts w:eastAsia="標楷體"/>
          <w:b/>
          <w:bCs/>
          <w:color w:val="3366FF"/>
          <w:sz w:val="28"/>
          <w:szCs w:val="28"/>
        </w:rPr>
      </w:pPr>
      <w:r w:rsidRPr="00AF7D06">
        <w:rPr>
          <w:rFonts w:eastAsia="標楷體"/>
          <w:b/>
          <w:bCs/>
          <w:color w:val="3366FF"/>
          <w:sz w:val="28"/>
          <w:szCs w:val="28"/>
        </w:rPr>
        <w:t>聚焦個人所得稅改革，港商的應對之策？</w:t>
      </w:r>
    </w:p>
    <w:p w:rsidR="00706B90" w:rsidRDefault="00706B90" w:rsidP="00706B90">
      <w:pPr>
        <w:jc w:val="center"/>
        <w:rPr>
          <w:rFonts w:eastAsiaTheme="minorEastAsia"/>
          <w:b/>
          <w:bCs/>
          <w:color w:val="3366FF"/>
          <w:sz w:val="28"/>
          <w:szCs w:val="28"/>
        </w:rPr>
      </w:pPr>
      <w:r w:rsidRPr="00AF7D06">
        <w:rPr>
          <w:rFonts w:eastAsia="標楷體"/>
          <w:b/>
          <w:bCs/>
          <w:color w:val="3366FF"/>
          <w:sz w:val="28"/>
          <w:szCs w:val="28"/>
        </w:rPr>
        <w:t>深化增值稅改革，如何進一步減輕港商的稅負？</w:t>
      </w:r>
    </w:p>
    <w:p w:rsidR="00C3525F" w:rsidRPr="00C3525F" w:rsidRDefault="00C3525F" w:rsidP="00706B90">
      <w:pPr>
        <w:jc w:val="center"/>
        <w:rPr>
          <w:rFonts w:eastAsia="標楷體"/>
          <w:b/>
          <w:bCs/>
          <w:color w:val="3366FF"/>
          <w:sz w:val="28"/>
          <w:szCs w:val="28"/>
        </w:rPr>
      </w:pPr>
      <w:r w:rsidRPr="00C3525F">
        <w:rPr>
          <w:rFonts w:eastAsia="標楷體" w:hint="eastAsia"/>
          <w:b/>
          <w:bCs/>
          <w:color w:val="3366FF"/>
          <w:sz w:val="28"/>
          <w:szCs w:val="28"/>
        </w:rPr>
        <w:t>如何合法合規關閉一家企業</w:t>
      </w:r>
      <w:r w:rsidRPr="00C3525F">
        <w:rPr>
          <w:rFonts w:eastAsia="標楷體" w:hint="eastAsia"/>
          <w:b/>
          <w:bCs/>
          <w:color w:val="3366FF"/>
          <w:sz w:val="28"/>
          <w:szCs w:val="28"/>
        </w:rPr>
        <w:t>?</w:t>
      </w:r>
    </w:p>
    <w:p w:rsidR="00706B90" w:rsidRPr="00AF7D06" w:rsidRDefault="00706B90" w:rsidP="00706B90">
      <w:pPr>
        <w:jc w:val="center"/>
        <w:rPr>
          <w:rFonts w:eastAsia="標楷體"/>
          <w:b/>
          <w:bCs/>
          <w:color w:val="3366FF"/>
          <w:sz w:val="28"/>
          <w:szCs w:val="28"/>
        </w:rPr>
      </w:pPr>
      <w:r w:rsidRPr="00AF7D06">
        <w:rPr>
          <w:rFonts w:eastAsia="標楷體"/>
          <w:b/>
          <w:bCs/>
          <w:color w:val="3366FF"/>
          <w:sz w:val="28"/>
          <w:szCs w:val="28"/>
        </w:rPr>
        <w:t>中美貿易戰下，港企如何應對？</w:t>
      </w:r>
    </w:p>
    <w:p w:rsidR="00706B90" w:rsidRPr="00AF7D06" w:rsidRDefault="00706B90" w:rsidP="00706B90">
      <w:pPr>
        <w:jc w:val="center"/>
        <w:rPr>
          <w:rFonts w:eastAsia="標楷體"/>
          <w:b/>
          <w:bCs/>
          <w:sz w:val="20"/>
          <w:szCs w:val="20"/>
        </w:rPr>
      </w:pPr>
    </w:p>
    <w:p w:rsidR="00D92F66" w:rsidRPr="00953F2E" w:rsidRDefault="00E1132D">
      <w:pPr>
        <w:jc w:val="both"/>
        <w:rPr>
          <w:rFonts w:eastAsia="標楷體"/>
          <w:bCs/>
          <w:szCs w:val="26"/>
        </w:rPr>
      </w:pPr>
      <w:r w:rsidRPr="00953F2E">
        <w:rPr>
          <w:rFonts w:eastAsia="標楷體"/>
          <w:b/>
          <w:bCs/>
          <w:szCs w:val="26"/>
        </w:rPr>
        <w:t>香港特別行政區政府駐粵經濟貿易辦事處</w:t>
      </w:r>
      <w:r w:rsidRPr="00953F2E">
        <w:rPr>
          <w:rFonts w:eastAsia="標楷體"/>
          <w:bCs/>
          <w:szCs w:val="26"/>
        </w:rPr>
        <w:t>，將於</w:t>
      </w:r>
      <w:r w:rsidR="005A0E24" w:rsidRPr="00953F2E">
        <w:rPr>
          <w:rFonts w:eastAsia="標楷體"/>
          <w:b/>
          <w:bCs/>
          <w:szCs w:val="26"/>
          <w:u w:val="single"/>
        </w:rPr>
        <w:t>2019</w:t>
      </w:r>
      <w:r w:rsidRPr="00953F2E">
        <w:rPr>
          <w:rFonts w:eastAsia="標楷體"/>
          <w:b/>
          <w:bCs/>
          <w:szCs w:val="26"/>
          <w:u w:val="single"/>
        </w:rPr>
        <w:t>年</w:t>
      </w:r>
      <w:r w:rsidR="00674414">
        <w:rPr>
          <w:rFonts w:eastAsia="標楷體"/>
          <w:b/>
          <w:bCs/>
          <w:szCs w:val="26"/>
          <w:u w:val="single"/>
        </w:rPr>
        <w:t>1</w:t>
      </w:r>
      <w:r w:rsidR="00674414">
        <w:rPr>
          <w:rFonts w:eastAsia="標楷體"/>
          <w:b/>
          <w:bCs/>
          <w:szCs w:val="26"/>
          <w:u w:val="single"/>
        </w:rPr>
        <w:t>月</w:t>
      </w:r>
      <w:r w:rsidR="00674414">
        <w:rPr>
          <w:rFonts w:eastAsia="標楷體"/>
          <w:b/>
          <w:bCs/>
          <w:szCs w:val="26"/>
          <w:u w:val="single"/>
        </w:rPr>
        <w:t>16</w:t>
      </w:r>
      <w:r w:rsidR="00674414">
        <w:rPr>
          <w:rFonts w:eastAsia="標楷體"/>
          <w:b/>
          <w:bCs/>
          <w:szCs w:val="26"/>
          <w:u w:val="single"/>
        </w:rPr>
        <w:t>日</w:t>
      </w:r>
      <w:r w:rsidRPr="00953F2E">
        <w:rPr>
          <w:rFonts w:eastAsia="標楷體"/>
          <w:b/>
          <w:bCs/>
          <w:szCs w:val="26"/>
          <w:u w:val="single"/>
        </w:rPr>
        <w:t>（星期</w:t>
      </w:r>
      <w:r w:rsidR="00674414" w:rsidRPr="00674414">
        <w:rPr>
          <w:rFonts w:eastAsia="標楷體" w:hint="eastAsia"/>
          <w:b/>
          <w:bCs/>
          <w:szCs w:val="26"/>
          <w:u w:val="single"/>
        </w:rPr>
        <w:t>三</w:t>
      </w:r>
      <w:r w:rsidRPr="00953F2E">
        <w:rPr>
          <w:rFonts w:eastAsia="標楷體"/>
          <w:b/>
          <w:bCs/>
          <w:szCs w:val="26"/>
          <w:u w:val="single"/>
        </w:rPr>
        <w:t>）</w:t>
      </w:r>
      <w:r w:rsidRPr="00953F2E">
        <w:rPr>
          <w:rFonts w:eastAsia="標楷體"/>
          <w:bCs/>
          <w:szCs w:val="26"/>
        </w:rPr>
        <w:t>在廣州市舉行</w:t>
      </w:r>
      <w:r w:rsidRPr="00953F2E">
        <w:rPr>
          <w:rFonts w:eastAsia="標楷體"/>
          <w:b/>
          <w:bCs/>
          <w:szCs w:val="26"/>
        </w:rPr>
        <w:t>「</w:t>
      </w:r>
      <w:r w:rsidR="005A0E24" w:rsidRPr="00953F2E">
        <w:rPr>
          <w:rFonts w:eastAsia="標楷體"/>
          <w:b/>
          <w:bCs/>
          <w:szCs w:val="26"/>
        </w:rPr>
        <w:t>2019</w:t>
      </w:r>
      <w:r w:rsidRPr="00953F2E">
        <w:rPr>
          <w:rFonts w:eastAsia="標楷體"/>
          <w:b/>
          <w:bCs/>
          <w:szCs w:val="26"/>
        </w:rPr>
        <w:t>年內地稅務政策專題講座」</w:t>
      </w:r>
      <w:r w:rsidRPr="00953F2E">
        <w:rPr>
          <w:rFonts w:eastAsia="標楷體"/>
          <w:bCs/>
          <w:szCs w:val="26"/>
        </w:rPr>
        <w:t>，邀請普華永道的專家，就以下議題進行深入的探討：</w:t>
      </w:r>
    </w:p>
    <w:p w:rsidR="00D92F66" w:rsidRPr="007D4787" w:rsidRDefault="00D92F66" w:rsidP="007D4787">
      <w:pPr>
        <w:pStyle w:val="1"/>
        <w:snapToGrid w:val="0"/>
        <w:ind w:left="567" w:rightChars="76" w:right="198" w:firstLineChars="0" w:firstLine="0"/>
        <w:jc w:val="both"/>
        <w:rPr>
          <w:rFonts w:eastAsia="標楷體"/>
          <w:color w:val="000000"/>
          <w:sz w:val="22"/>
          <w:szCs w:val="22"/>
        </w:rPr>
      </w:pPr>
    </w:p>
    <w:p w:rsidR="00AF7D06" w:rsidRPr="007D4787" w:rsidRDefault="0067570F" w:rsidP="00671182">
      <w:pPr>
        <w:pStyle w:val="1"/>
        <w:numPr>
          <w:ilvl w:val="0"/>
          <w:numId w:val="2"/>
        </w:numPr>
        <w:snapToGrid w:val="0"/>
        <w:spacing w:afterLines="50" w:after="120"/>
        <w:ind w:left="567" w:rightChars="76" w:right="198" w:firstLineChars="0" w:hanging="567"/>
        <w:jc w:val="both"/>
        <w:rPr>
          <w:rFonts w:eastAsia="標楷體"/>
          <w:color w:val="000000"/>
          <w:szCs w:val="26"/>
        </w:rPr>
      </w:pPr>
      <w:r w:rsidRPr="007D4787">
        <w:rPr>
          <w:rFonts w:eastAsia="標楷體" w:hint="eastAsia"/>
          <w:color w:val="000000"/>
          <w:szCs w:val="26"/>
        </w:rPr>
        <w:t>就</w:t>
      </w:r>
      <w:r w:rsidR="005A0E24" w:rsidRPr="007D4787">
        <w:rPr>
          <w:rFonts w:eastAsia="標楷體"/>
          <w:color w:val="000000"/>
          <w:szCs w:val="26"/>
        </w:rPr>
        <w:t>新個稅法中港商和港人關注的重要問題，例如：對居民與非居民的重新定義</w:t>
      </w:r>
      <w:r w:rsidR="007D4787" w:rsidRPr="007D4787">
        <w:rPr>
          <w:rFonts w:eastAsia="標楷體" w:hint="eastAsia"/>
          <w:color w:val="000000"/>
          <w:szCs w:val="26"/>
        </w:rPr>
        <w:t>、</w:t>
      </w:r>
      <w:r w:rsidR="00671182" w:rsidRPr="00671182">
        <w:rPr>
          <w:rFonts w:eastAsia="標楷體" w:hint="eastAsia"/>
          <w:color w:val="000000"/>
          <w:szCs w:val="26"/>
        </w:rPr>
        <w:t>對於在中國境內居住滿</w:t>
      </w:r>
      <w:r w:rsidR="00671182" w:rsidRPr="00671182">
        <w:rPr>
          <w:rFonts w:eastAsia="標楷體" w:hint="eastAsia"/>
          <w:color w:val="000000"/>
          <w:szCs w:val="26"/>
        </w:rPr>
        <w:t>183</w:t>
      </w:r>
      <w:r w:rsidR="00671182" w:rsidRPr="00671182">
        <w:rPr>
          <w:rFonts w:eastAsia="標楷體" w:hint="eastAsia"/>
          <w:color w:val="000000"/>
          <w:szCs w:val="26"/>
        </w:rPr>
        <w:t>天但未</w:t>
      </w:r>
      <w:r w:rsidR="00671182">
        <w:rPr>
          <w:rFonts w:eastAsia="標楷體" w:hint="eastAsia"/>
          <w:color w:val="000000"/>
          <w:szCs w:val="26"/>
        </w:rPr>
        <w:t>滿六年的非居民個人，可豁免繳納境外所得部分的個人所得稅</w:t>
      </w:r>
      <w:r w:rsidR="005A0E24" w:rsidRPr="007D4787">
        <w:rPr>
          <w:rFonts w:eastAsia="標楷體"/>
          <w:color w:val="000000"/>
          <w:szCs w:val="26"/>
        </w:rPr>
        <w:t>和相關影響、新綜合申報下對現有稅務與薪酬安排的潛在影響以及反避稅條款的引入和影響等問題提供專業解讀，以幫助港商和港人增加對新個稅法的瞭解。</w:t>
      </w:r>
      <w:r w:rsidR="00AF7D06" w:rsidRPr="007D4787">
        <w:rPr>
          <w:rFonts w:eastAsia="標楷體"/>
          <w:color w:val="000000"/>
          <w:szCs w:val="26"/>
        </w:rPr>
        <w:t>【普華永道中國個人所得稅服務總監</w:t>
      </w:r>
      <w:r w:rsidR="00AF7D06" w:rsidRPr="007D4787">
        <w:rPr>
          <w:rFonts w:eastAsia="標楷體"/>
          <w:color w:val="000000"/>
          <w:szCs w:val="26"/>
        </w:rPr>
        <w:t xml:space="preserve"> </w:t>
      </w:r>
      <w:r w:rsidR="00AF7D06" w:rsidRPr="007D4787">
        <w:rPr>
          <w:rFonts w:eastAsia="標楷體"/>
          <w:color w:val="000000"/>
          <w:szCs w:val="26"/>
        </w:rPr>
        <w:t>許惠君】</w:t>
      </w:r>
    </w:p>
    <w:p w:rsidR="00AF7D06" w:rsidRPr="006F1F48" w:rsidRDefault="005A0E24" w:rsidP="006F1F48">
      <w:pPr>
        <w:pStyle w:val="1"/>
        <w:numPr>
          <w:ilvl w:val="0"/>
          <w:numId w:val="2"/>
        </w:numPr>
        <w:snapToGrid w:val="0"/>
        <w:spacing w:afterLines="50" w:after="120"/>
        <w:ind w:left="567" w:rightChars="76" w:right="198" w:firstLineChars="0" w:hanging="567"/>
        <w:jc w:val="both"/>
        <w:rPr>
          <w:rFonts w:eastAsia="標楷體"/>
          <w:color w:val="000000"/>
          <w:szCs w:val="26"/>
        </w:rPr>
      </w:pPr>
      <w:r w:rsidRPr="00953F2E">
        <w:rPr>
          <w:rFonts w:eastAsia="標楷體"/>
          <w:color w:val="000000"/>
          <w:szCs w:val="26"/>
        </w:rPr>
        <w:t>處於稅收環境變革中的港企</w:t>
      </w:r>
      <w:r w:rsidR="0067570F" w:rsidRPr="00953F2E">
        <w:rPr>
          <w:rFonts w:eastAsia="標楷體" w:hint="eastAsia"/>
          <w:color w:val="000000"/>
          <w:szCs w:val="26"/>
        </w:rPr>
        <w:t>，</w:t>
      </w:r>
      <w:r w:rsidRPr="00953F2E">
        <w:rPr>
          <w:rFonts w:eastAsia="標楷體"/>
          <w:color w:val="000000"/>
          <w:szCs w:val="26"/>
        </w:rPr>
        <w:t>應如何在降低稅負的同時防範自身的稅務風險？未來，中國的增值稅改革將向何處去？</w:t>
      </w:r>
      <w:r w:rsidR="00AF7D06" w:rsidRPr="00953F2E">
        <w:rPr>
          <w:rFonts w:eastAsia="標楷體"/>
          <w:color w:val="000000"/>
          <w:szCs w:val="26"/>
        </w:rPr>
        <w:t>【</w:t>
      </w:r>
      <w:r w:rsidR="006F1F48" w:rsidRPr="006F1F48">
        <w:rPr>
          <w:rFonts w:eastAsia="標楷體" w:hint="eastAsia"/>
          <w:color w:val="000000"/>
          <w:szCs w:val="26"/>
        </w:rPr>
        <w:t>普華永道中國稅務及商務諮詢高級經理趙淳</w:t>
      </w:r>
      <w:r w:rsidR="00AF7D06" w:rsidRPr="00953F2E">
        <w:rPr>
          <w:rFonts w:eastAsia="標楷體"/>
          <w:color w:val="000000"/>
          <w:szCs w:val="26"/>
        </w:rPr>
        <w:t>】</w:t>
      </w:r>
    </w:p>
    <w:p w:rsidR="009D150F" w:rsidRPr="00953F2E" w:rsidRDefault="00F2526F" w:rsidP="009D150F">
      <w:pPr>
        <w:pStyle w:val="1"/>
        <w:numPr>
          <w:ilvl w:val="0"/>
          <w:numId w:val="2"/>
        </w:numPr>
        <w:snapToGrid w:val="0"/>
        <w:spacing w:afterLines="50" w:after="120"/>
        <w:ind w:left="567" w:rightChars="76" w:right="198" w:firstLineChars="0" w:hanging="567"/>
        <w:jc w:val="both"/>
        <w:rPr>
          <w:rFonts w:eastAsia="標楷體"/>
          <w:color w:val="000000"/>
          <w:szCs w:val="26"/>
        </w:rPr>
      </w:pPr>
      <w:r w:rsidRPr="00D77B98">
        <w:rPr>
          <w:rFonts w:ascii="標楷體" w:eastAsia="標楷體" w:hAnsi="標楷體" w:hint="eastAsia"/>
          <w:color w:val="000000"/>
          <w:szCs w:val="26"/>
        </w:rPr>
        <w:t>不論</w:t>
      </w:r>
      <w:r w:rsidR="00D77B98" w:rsidRPr="00D77B98">
        <w:rPr>
          <w:rFonts w:ascii="標楷體" w:eastAsia="標楷體" w:hAnsi="標楷體" w:hint="eastAsia"/>
          <w:color w:val="000000"/>
          <w:szCs w:val="26"/>
        </w:rPr>
        <w:t>是什麼</w:t>
      </w:r>
      <w:r w:rsidRPr="00D77B98">
        <w:rPr>
          <w:rFonts w:ascii="標楷體" w:eastAsia="標楷體" w:hAnsi="標楷體" w:hint="eastAsia"/>
          <w:color w:val="000000"/>
          <w:szCs w:val="26"/>
        </w:rPr>
        <w:t>原因</w:t>
      </w:r>
      <w:r w:rsidR="00D77B98" w:rsidRPr="00D77B98">
        <w:rPr>
          <w:rFonts w:ascii="標楷體" w:eastAsia="標楷體" w:hAnsi="標楷體" w:hint="eastAsia"/>
          <w:color w:val="000000"/>
          <w:szCs w:val="26"/>
        </w:rPr>
        <w:t>而導致企業要考慮關閉</w:t>
      </w:r>
      <w:r w:rsidRPr="00D77B98">
        <w:rPr>
          <w:rFonts w:ascii="標楷體" w:eastAsia="標楷體" w:hAnsi="標楷體" w:hint="eastAsia"/>
          <w:color w:val="000000"/>
          <w:szCs w:val="26"/>
        </w:rPr>
        <w:t>，</w:t>
      </w:r>
      <w:r w:rsidR="00D77B98" w:rsidRPr="00D77B98">
        <w:rPr>
          <w:rFonts w:ascii="標楷體" w:eastAsia="標楷體" w:hAnsi="標楷體" w:hint="eastAsia"/>
          <w:color w:val="000000"/>
          <w:szCs w:val="26"/>
        </w:rPr>
        <w:t>如何才能</w:t>
      </w:r>
      <w:r w:rsidRPr="00D77B98">
        <w:rPr>
          <w:rFonts w:ascii="標楷體" w:eastAsia="標楷體" w:hAnsi="標楷體" w:hint="eastAsia"/>
          <w:color w:val="000000"/>
          <w:szCs w:val="26"/>
        </w:rPr>
        <w:t>合法合規</w:t>
      </w:r>
      <w:r w:rsidR="00D77B98" w:rsidRPr="00D77B98">
        <w:rPr>
          <w:rFonts w:ascii="標楷體" w:eastAsia="標楷體" w:hAnsi="標楷體" w:hint="eastAsia"/>
          <w:color w:val="000000"/>
          <w:szCs w:val="26"/>
        </w:rPr>
        <w:t>地</w:t>
      </w:r>
      <w:r w:rsidRPr="00D77B98">
        <w:rPr>
          <w:rFonts w:ascii="標楷體" w:eastAsia="標楷體" w:hAnsi="標楷體" w:hint="eastAsia"/>
          <w:color w:val="000000"/>
          <w:szCs w:val="26"/>
        </w:rPr>
        <w:t>關閉一家企業</w:t>
      </w:r>
      <w:r w:rsidR="00D77B98" w:rsidRPr="00D77B98">
        <w:rPr>
          <w:rFonts w:ascii="標楷體" w:eastAsia="標楷體" w:hAnsi="標楷體" w:hint="eastAsia"/>
          <w:color w:val="000000"/>
          <w:szCs w:val="26"/>
        </w:rPr>
        <w:t>？</w:t>
      </w:r>
      <w:r w:rsidRPr="00D77B98">
        <w:rPr>
          <w:rFonts w:ascii="標楷體" w:eastAsia="標楷體" w:hAnsi="標楷體" w:hint="eastAsia"/>
          <w:color w:val="000000"/>
          <w:szCs w:val="26"/>
        </w:rPr>
        <w:t>破產清算的基本概念、要素及流程，</w:t>
      </w:r>
      <w:r w:rsidR="00D77B98" w:rsidRPr="00D77B98">
        <w:rPr>
          <w:rFonts w:ascii="標楷體" w:eastAsia="標楷體" w:hAnsi="標楷體" w:hint="eastAsia"/>
          <w:color w:val="000000"/>
          <w:szCs w:val="26"/>
        </w:rPr>
        <w:t>以及</w:t>
      </w:r>
      <w:r w:rsidRPr="00D77B98">
        <w:rPr>
          <w:rFonts w:ascii="標楷體" w:eastAsia="標楷體" w:hAnsi="標楷體" w:hint="eastAsia"/>
          <w:color w:val="000000"/>
          <w:szCs w:val="26"/>
        </w:rPr>
        <w:t>各主要參與方的職責範圍</w:t>
      </w:r>
      <w:r w:rsidR="00D77B98" w:rsidRPr="00D77B98">
        <w:rPr>
          <w:rFonts w:ascii="標楷體" w:eastAsia="標楷體" w:hAnsi="標楷體" w:hint="eastAsia"/>
          <w:color w:val="000000"/>
          <w:szCs w:val="26"/>
        </w:rPr>
        <w:t>又是怎樣？</w:t>
      </w:r>
      <w:r w:rsidRPr="00953F2E">
        <w:rPr>
          <w:rFonts w:eastAsia="標楷體" w:hint="eastAsia"/>
          <w:color w:val="000000"/>
          <w:szCs w:val="26"/>
        </w:rPr>
        <w:t>【普華永道香港高級經理陳嘉詠】</w:t>
      </w:r>
    </w:p>
    <w:p w:rsidR="00AF7D06" w:rsidRPr="00953F2E" w:rsidRDefault="00D77B98" w:rsidP="00AF7D06">
      <w:pPr>
        <w:pStyle w:val="1"/>
        <w:numPr>
          <w:ilvl w:val="0"/>
          <w:numId w:val="2"/>
        </w:numPr>
        <w:snapToGrid w:val="0"/>
        <w:spacing w:afterLines="50" w:after="120"/>
        <w:ind w:left="567" w:rightChars="76" w:right="198" w:firstLineChars="0" w:hanging="567"/>
        <w:jc w:val="both"/>
        <w:rPr>
          <w:rFonts w:eastAsia="標楷體"/>
          <w:color w:val="000000"/>
          <w:szCs w:val="26"/>
        </w:rPr>
      </w:pPr>
      <w:r w:rsidRPr="00D77B98">
        <w:rPr>
          <w:rFonts w:ascii="標楷體" w:eastAsia="標楷體" w:hAnsi="標楷體"/>
          <w:color w:val="000000"/>
          <w:szCs w:val="26"/>
        </w:rPr>
        <w:t>在中美貿易</w:t>
      </w:r>
      <w:r w:rsidRPr="00D77B98">
        <w:rPr>
          <w:rFonts w:ascii="標楷體" w:eastAsia="標楷體" w:hAnsi="標楷體" w:hint="eastAsia"/>
          <w:color w:val="000000"/>
          <w:szCs w:val="26"/>
        </w:rPr>
        <w:t>摩擦的</w:t>
      </w:r>
      <w:r w:rsidR="005A0E24" w:rsidRPr="00D77B98">
        <w:rPr>
          <w:rFonts w:ascii="標楷體" w:eastAsia="標楷體" w:hAnsi="標楷體"/>
          <w:color w:val="000000"/>
          <w:szCs w:val="26"/>
        </w:rPr>
        <w:t>背景下，包括中美在內的全球貿易和投資將面臨巨大的挑戰，未來的投資環境更加撲朔迷離</w:t>
      </w:r>
      <w:r w:rsidRPr="00D77B98">
        <w:rPr>
          <w:rFonts w:ascii="標楷體" w:eastAsia="標楷體" w:hAnsi="標楷體" w:hint="eastAsia"/>
          <w:color w:val="000000"/>
          <w:szCs w:val="26"/>
        </w:rPr>
        <w:t>。在粵</w:t>
      </w:r>
      <w:r>
        <w:rPr>
          <w:rFonts w:ascii="標楷體" w:eastAsia="標楷體" w:hAnsi="標楷體"/>
          <w:color w:val="000000"/>
          <w:szCs w:val="26"/>
        </w:rPr>
        <w:t>港企應</w:t>
      </w:r>
      <w:r w:rsidR="005A0E24" w:rsidRPr="00D77B98">
        <w:rPr>
          <w:rFonts w:ascii="標楷體" w:eastAsia="標楷體" w:hAnsi="標楷體"/>
          <w:color w:val="000000"/>
          <w:szCs w:val="26"/>
        </w:rPr>
        <w:t>如何降低貿易</w:t>
      </w:r>
      <w:r w:rsidRPr="00D77B98">
        <w:rPr>
          <w:rFonts w:ascii="標楷體" w:eastAsia="標楷體" w:hAnsi="標楷體" w:hint="eastAsia"/>
          <w:color w:val="000000"/>
          <w:szCs w:val="26"/>
        </w:rPr>
        <w:t>摩擦</w:t>
      </w:r>
      <w:r w:rsidR="005A0E24" w:rsidRPr="00D77B98">
        <w:rPr>
          <w:rFonts w:ascii="標楷體" w:eastAsia="標楷體" w:hAnsi="標楷體"/>
          <w:color w:val="000000"/>
          <w:szCs w:val="26"/>
        </w:rPr>
        <w:t>的影響，同時提高其自身</w:t>
      </w:r>
      <w:r w:rsidRPr="00D77B98">
        <w:rPr>
          <w:rFonts w:ascii="標楷體" w:eastAsia="標楷體" w:hAnsi="標楷體" w:hint="eastAsia"/>
          <w:color w:val="000000"/>
          <w:szCs w:val="26"/>
        </w:rPr>
        <w:t>的</w:t>
      </w:r>
      <w:r w:rsidR="005A0E24" w:rsidRPr="00D77B98">
        <w:rPr>
          <w:rFonts w:ascii="標楷體" w:eastAsia="標楷體" w:hAnsi="標楷體"/>
          <w:color w:val="000000"/>
          <w:szCs w:val="26"/>
        </w:rPr>
        <w:t>競爭力？</w:t>
      </w:r>
      <w:r w:rsidR="00AF7D06" w:rsidRPr="00953F2E">
        <w:rPr>
          <w:rFonts w:eastAsia="標楷體"/>
          <w:color w:val="000000"/>
          <w:szCs w:val="26"/>
        </w:rPr>
        <w:t>【普華永道中國資深經濟學家</w:t>
      </w:r>
      <w:r w:rsidR="00AF7D06" w:rsidRPr="00953F2E">
        <w:rPr>
          <w:rFonts w:eastAsia="標楷體"/>
          <w:color w:val="000000"/>
          <w:szCs w:val="26"/>
        </w:rPr>
        <w:t xml:space="preserve"> </w:t>
      </w:r>
      <w:r w:rsidR="00AF7D06" w:rsidRPr="00953F2E">
        <w:rPr>
          <w:rFonts w:eastAsia="標楷體"/>
          <w:color w:val="000000"/>
          <w:szCs w:val="26"/>
        </w:rPr>
        <w:t>趙廣彬】</w:t>
      </w:r>
    </w:p>
    <w:p w:rsidR="00706B90" w:rsidRPr="00953F2E" w:rsidRDefault="00706B90" w:rsidP="00706B90">
      <w:pPr>
        <w:jc w:val="center"/>
        <w:rPr>
          <w:rFonts w:eastAsia="標楷體"/>
          <w:b/>
          <w:bCs/>
          <w:color w:val="FF00FF"/>
          <w:sz w:val="32"/>
          <w:szCs w:val="32"/>
        </w:rPr>
      </w:pPr>
      <w:r w:rsidRPr="00953F2E">
        <w:rPr>
          <w:rFonts w:eastAsia="標楷體"/>
          <w:b/>
          <w:bCs/>
          <w:color w:val="FF00FF"/>
          <w:sz w:val="32"/>
          <w:szCs w:val="32"/>
        </w:rPr>
        <w:t>特邀專家</w:t>
      </w:r>
      <w:r w:rsidRPr="00953F2E">
        <w:rPr>
          <w:rFonts w:eastAsia="標楷體"/>
          <w:b/>
          <w:bCs/>
          <w:color w:val="FF00FF"/>
          <w:sz w:val="32"/>
          <w:szCs w:val="32"/>
        </w:rPr>
        <w:t xml:space="preserve">  </w:t>
      </w:r>
      <w:r w:rsidRPr="00953F2E">
        <w:rPr>
          <w:rFonts w:eastAsia="標楷體"/>
          <w:b/>
          <w:bCs/>
          <w:color w:val="FF00FF"/>
          <w:sz w:val="32"/>
          <w:szCs w:val="32"/>
        </w:rPr>
        <w:t>專題解讀</w:t>
      </w:r>
    </w:p>
    <w:p w:rsidR="00D92F66" w:rsidRPr="00AF7D06" w:rsidRDefault="00E1132D">
      <w:pPr>
        <w:snapToGrid w:val="0"/>
        <w:ind w:left="6" w:rightChars="76" w:right="198"/>
        <w:jc w:val="both"/>
        <w:rPr>
          <w:rFonts w:eastAsia="標楷體"/>
          <w:b/>
          <w:bCs/>
          <w:spacing w:val="-24"/>
          <w:sz w:val="16"/>
          <w:szCs w:val="16"/>
        </w:rPr>
      </w:pPr>
      <w:r w:rsidRPr="00AF7D06">
        <w:rPr>
          <w:rFonts w:eastAsia="標楷體"/>
          <w:noProof/>
          <w:sz w:val="28"/>
          <w:szCs w:val="28"/>
        </w:rPr>
        <mc:AlternateContent>
          <mc:Choice Requires="wps">
            <w:drawing>
              <wp:anchor distT="0" distB="0" distL="114300" distR="114300" simplePos="0" relativeHeight="251658240" behindDoc="0" locked="0" layoutInCell="1" allowOverlap="1" wp14:anchorId="5420705C" wp14:editId="7B83532F">
                <wp:simplePos x="0" y="0"/>
                <wp:positionH relativeFrom="column">
                  <wp:posOffset>-72390</wp:posOffset>
                </wp:positionH>
                <wp:positionV relativeFrom="paragraph">
                  <wp:posOffset>37464</wp:posOffset>
                </wp:positionV>
                <wp:extent cx="5866130" cy="1895475"/>
                <wp:effectExtent l="19050" t="19050" r="20320" b="2857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1895475"/>
                        </a:xfrm>
                        <a:prstGeom prst="roundRect">
                          <a:avLst>
                            <a:gd name="adj" fmla="val 4769"/>
                          </a:avLst>
                        </a:prstGeom>
                        <a:noFill/>
                        <a:ln w="28575">
                          <a:solidFill>
                            <a:srgbClr val="000000"/>
                          </a:solidFill>
                          <a:prstDash val="sysDot"/>
                          <a:rou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id="AutoShape 2" o:spid="_x0000_s1026" style="position:absolute;margin-left:-5.7pt;margin-top:2.95pt;width:461.9pt;height:14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31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" filled="f" strokeweight="2.25pt">
                <v:stroke dashstyle="1 1"/>
              </v:roundrect>
            </w:pict>
          </mc:Fallback>
        </mc:AlternateContent>
      </w:r>
    </w:p>
    <w:p w:rsidR="00D92F66" w:rsidRPr="004131AC" w:rsidRDefault="00E1132D" w:rsidP="004131AC">
      <w:pPr>
        <w:tabs>
          <w:tab w:val="left" w:pos="1560"/>
        </w:tabs>
        <w:snapToGrid w:val="0"/>
        <w:jc w:val="both"/>
        <w:rPr>
          <w:rFonts w:ascii="標楷體" w:eastAsia="標楷體" w:hAnsi="標楷體"/>
          <w:b/>
          <w:spacing w:val="30"/>
          <w:szCs w:val="26"/>
        </w:rPr>
      </w:pPr>
      <w:r w:rsidRPr="004131AC">
        <w:rPr>
          <w:rFonts w:ascii="標楷體" w:eastAsia="標楷體" w:hAnsi="標楷體"/>
          <w:b/>
          <w:spacing w:val="30"/>
          <w:szCs w:val="26"/>
        </w:rPr>
        <w:t>主</w:t>
      </w:r>
      <w:r w:rsidR="004131AC">
        <w:rPr>
          <w:rFonts w:ascii="標楷體" w:eastAsiaTheme="minorEastAsia" w:hAnsi="標楷體" w:hint="eastAsia"/>
          <w:b/>
          <w:spacing w:val="30"/>
          <w:szCs w:val="26"/>
        </w:rPr>
        <w:t xml:space="preserve">  </w:t>
      </w:r>
      <w:r w:rsidRPr="004131AC">
        <w:rPr>
          <w:rFonts w:ascii="標楷體" w:eastAsia="標楷體" w:hAnsi="標楷體"/>
          <w:b/>
          <w:spacing w:val="30"/>
          <w:szCs w:val="26"/>
        </w:rPr>
        <w:t>辦</w:t>
      </w:r>
      <w:r w:rsidRPr="004131AC">
        <w:rPr>
          <w:rFonts w:ascii="標楷體" w:eastAsia="標楷體" w:hAnsi="標楷體"/>
          <w:b/>
          <w:szCs w:val="26"/>
        </w:rPr>
        <w:t>：</w:t>
      </w:r>
      <w:r w:rsidR="004131AC">
        <w:rPr>
          <w:rFonts w:ascii="標楷體" w:eastAsiaTheme="minorEastAsia" w:hAnsi="標楷體" w:hint="eastAsia"/>
          <w:b/>
          <w:szCs w:val="26"/>
        </w:rPr>
        <w:tab/>
      </w:r>
      <w:r w:rsidRPr="004131AC">
        <w:rPr>
          <w:rFonts w:ascii="標楷體" w:eastAsia="標楷體" w:hAnsi="標楷體"/>
          <w:b/>
          <w:spacing w:val="30"/>
          <w:szCs w:val="26"/>
        </w:rPr>
        <w:t>香港特別行政區政府駐粤經濟貿易辦事處</w:t>
      </w:r>
    </w:p>
    <w:p w:rsidR="004131AC" w:rsidRPr="004131AC" w:rsidRDefault="004131AC" w:rsidP="004131AC">
      <w:pPr>
        <w:tabs>
          <w:tab w:val="left" w:pos="1560"/>
        </w:tabs>
        <w:snapToGrid w:val="0"/>
        <w:jc w:val="both"/>
        <w:rPr>
          <w:rFonts w:ascii="標楷體" w:eastAsia="標楷體" w:hAnsi="標楷體"/>
          <w:b/>
          <w:spacing w:val="30"/>
          <w:szCs w:val="26"/>
        </w:rPr>
      </w:pPr>
      <w:r w:rsidRPr="004131AC">
        <w:rPr>
          <w:rFonts w:ascii="標楷體" w:eastAsia="標楷體" w:hAnsi="標楷體" w:hint="eastAsia"/>
          <w:b/>
          <w:spacing w:val="30"/>
          <w:szCs w:val="26"/>
        </w:rPr>
        <w:t>支持機構</w:t>
      </w:r>
      <w:r w:rsidRPr="004131AC">
        <w:rPr>
          <w:rFonts w:ascii="標楷體" w:eastAsia="標楷體" w:hAnsi="標楷體"/>
          <w:b/>
          <w:spacing w:val="30"/>
          <w:szCs w:val="26"/>
        </w:rPr>
        <w:t>:</w:t>
      </w:r>
      <w:r w:rsidRPr="004131AC">
        <w:rPr>
          <w:rFonts w:ascii="標楷體" w:eastAsia="標楷體" w:hAnsi="標楷體" w:hint="eastAsia"/>
          <w:b/>
          <w:spacing w:val="30"/>
          <w:szCs w:val="26"/>
        </w:rPr>
        <w:t xml:space="preserve"> </w:t>
      </w:r>
      <w:r>
        <w:rPr>
          <w:rFonts w:ascii="標楷體" w:eastAsiaTheme="minorEastAsia" w:hAnsi="標楷體" w:hint="eastAsia"/>
          <w:b/>
          <w:spacing w:val="30"/>
          <w:szCs w:val="26"/>
        </w:rPr>
        <w:tab/>
      </w:r>
      <w:r w:rsidRPr="004131AC">
        <w:rPr>
          <w:rFonts w:ascii="標楷體" w:eastAsia="標楷體" w:hAnsi="標楷體" w:hint="eastAsia"/>
          <w:b/>
          <w:spacing w:val="30"/>
          <w:szCs w:val="26"/>
        </w:rPr>
        <w:t>香港工業總會珠三角工業協會</w:t>
      </w:r>
    </w:p>
    <w:p w:rsidR="00D92F66" w:rsidRPr="00953F2E" w:rsidRDefault="00E1132D" w:rsidP="004131AC">
      <w:pPr>
        <w:tabs>
          <w:tab w:val="left" w:pos="1560"/>
        </w:tabs>
        <w:adjustRightInd w:val="0"/>
        <w:snapToGrid w:val="0"/>
        <w:jc w:val="both"/>
        <w:rPr>
          <w:rFonts w:eastAsia="標楷體"/>
          <w:szCs w:val="26"/>
        </w:rPr>
      </w:pPr>
      <w:r w:rsidRPr="00953F2E">
        <w:rPr>
          <w:rFonts w:eastAsia="標楷體"/>
          <w:b/>
          <w:szCs w:val="26"/>
        </w:rPr>
        <w:t>日</w:t>
      </w:r>
      <w:r w:rsidRPr="00953F2E">
        <w:rPr>
          <w:rFonts w:eastAsia="標楷體"/>
          <w:b/>
          <w:szCs w:val="26"/>
        </w:rPr>
        <w:t xml:space="preserve">     </w:t>
      </w:r>
      <w:r w:rsidRPr="00953F2E">
        <w:rPr>
          <w:rFonts w:eastAsia="標楷體"/>
          <w:b/>
          <w:szCs w:val="26"/>
        </w:rPr>
        <w:t>期：</w:t>
      </w:r>
      <w:r w:rsidR="004131AC">
        <w:rPr>
          <w:rFonts w:eastAsiaTheme="minorEastAsia" w:hint="eastAsia"/>
          <w:b/>
          <w:szCs w:val="26"/>
          <w:lang w:eastAsia="zh-CN"/>
        </w:rPr>
        <w:tab/>
      </w:r>
      <w:r w:rsidRPr="00953F2E">
        <w:rPr>
          <w:rFonts w:eastAsia="標楷體"/>
          <w:szCs w:val="26"/>
        </w:rPr>
        <w:t>201</w:t>
      </w:r>
      <w:r w:rsidR="00AF7D06" w:rsidRPr="00953F2E">
        <w:rPr>
          <w:rFonts w:eastAsia="標楷體"/>
          <w:szCs w:val="26"/>
          <w:lang w:eastAsia="zh-CN"/>
        </w:rPr>
        <w:t>9</w:t>
      </w:r>
      <w:r w:rsidRPr="00953F2E">
        <w:rPr>
          <w:rFonts w:eastAsia="標楷體"/>
          <w:szCs w:val="26"/>
        </w:rPr>
        <w:t>年</w:t>
      </w:r>
      <w:r w:rsidR="00674414">
        <w:rPr>
          <w:rFonts w:eastAsia="標楷體"/>
          <w:szCs w:val="26"/>
          <w:lang w:eastAsia="zh-CN"/>
        </w:rPr>
        <w:t>1</w:t>
      </w:r>
      <w:r w:rsidR="00674414">
        <w:rPr>
          <w:rFonts w:eastAsia="標楷體"/>
          <w:szCs w:val="26"/>
          <w:lang w:eastAsia="zh-CN"/>
        </w:rPr>
        <w:t>月</w:t>
      </w:r>
      <w:r w:rsidR="00674414">
        <w:rPr>
          <w:rFonts w:eastAsia="標楷體"/>
          <w:szCs w:val="26"/>
          <w:lang w:eastAsia="zh-CN"/>
        </w:rPr>
        <w:t>16</w:t>
      </w:r>
      <w:r w:rsidR="00674414">
        <w:rPr>
          <w:rFonts w:eastAsia="標楷體"/>
          <w:szCs w:val="26"/>
          <w:lang w:eastAsia="zh-CN"/>
        </w:rPr>
        <w:t>日</w:t>
      </w:r>
      <w:r w:rsidRPr="00953F2E">
        <w:rPr>
          <w:rFonts w:eastAsia="標楷體"/>
          <w:szCs w:val="26"/>
        </w:rPr>
        <w:t>（</w:t>
      </w:r>
      <w:r w:rsidRPr="00953F2E">
        <w:rPr>
          <w:rFonts w:eastAsia="標楷體"/>
          <w:szCs w:val="26"/>
          <w:lang w:eastAsia="zh-CN"/>
        </w:rPr>
        <w:t>星期</w:t>
      </w:r>
      <w:r w:rsidR="00674414" w:rsidRPr="00674414">
        <w:rPr>
          <w:rFonts w:eastAsia="標楷體" w:hint="eastAsia"/>
          <w:szCs w:val="26"/>
          <w:lang w:eastAsia="zh-CN"/>
        </w:rPr>
        <w:t>三</w:t>
      </w:r>
      <w:r w:rsidRPr="00953F2E">
        <w:rPr>
          <w:rFonts w:eastAsia="標楷體"/>
          <w:szCs w:val="26"/>
          <w:lang w:eastAsia="zh-CN"/>
        </w:rPr>
        <w:t>）</w:t>
      </w:r>
    </w:p>
    <w:p w:rsidR="00D92F66" w:rsidRPr="00953F2E" w:rsidRDefault="00E1132D" w:rsidP="004131AC">
      <w:pPr>
        <w:tabs>
          <w:tab w:val="left" w:pos="1560"/>
        </w:tabs>
        <w:adjustRightInd w:val="0"/>
        <w:snapToGrid w:val="0"/>
        <w:ind w:right="269"/>
        <w:jc w:val="both"/>
        <w:rPr>
          <w:rFonts w:eastAsia="標楷體"/>
          <w:b/>
          <w:szCs w:val="26"/>
        </w:rPr>
      </w:pPr>
      <w:r w:rsidRPr="00953F2E">
        <w:rPr>
          <w:rFonts w:eastAsia="標楷體"/>
          <w:b/>
          <w:szCs w:val="26"/>
        </w:rPr>
        <w:t>時</w:t>
      </w:r>
      <w:r w:rsidRPr="00953F2E">
        <w:rPr>
          <w:rFonts w:eastAsia="標楷體"/>
          <w:b/>
          <w:szCs w:val="26"/>
        </w:rPr>
        <w:t xml:space="preserve">     </w:t>
      </w:r>
      <w:r w:rsidRPr="00953F2E">
        <w:rPr>
          <w:rFonts w:eastAsia="標楷體"/>
          <w:b/>
          <w:szCs w:val="26"/>
        </w:rPr>
        <w:t>間：</w:t>
      </w:r>
      <w:r w:rsidR="004131AC">
        <w:rPr>
          <w:rFonts w:eastAsia="標楷體"/>
          <w:b/>
          <w:szCs w:val="26"/>
        </w:rPr>
        <w:t xml:space="preserve"> </w:t>
      </w:r>
      <w:r w:rsidR="004131AC">
        <w:rPr>
          <w:rFonts w:eastAsiaTheme="minorEastAsia" w:hint="eastAsia"/>
          <w:b/>
          <w:szCs w:val="26"/>
        </w:rPr>
        <w:tab/>
      </w:r>
      <w:r w:rsidRPr="00953F2E">
        <w:rPr>
          <w:rFonts w:eastAsia="標楷體"/>
          <w:szCs w:val="26"/>
        </w:rPr>
        <w:t>下午</w:t>
      </w:r>
      <w:r w:rsidRPr="00953F2E">
        <w:rPr>
          <w:rFonts w:eastAsia="標楷體"/>
          <w:szCs w:val="26"/>
        </w:rPr>
        <w:t>2</w:t>
      </w:r>
      <w:r w:rsidRPr="00953F2E">
        <w:rPr>
          <w:rFonts w:eastAsia="標楷體"/>
          <w:szCs w:val="26"/>
        </w:rPr>
        <w:t>時</w:t>
      </w:r>
      <w:r w:rsidRPr="00953F2E">
        <w:rPr>
          <w:rFonts w:eastAsia="標楷體"/>
          <w:szCs w:val="26"/>
        </w:rPr>
        <w:t>30</w:t>
      </w:r>
      <w:r w:rsidRPr="00953F2E">
        <w:rPr>
          <w:rFonts w:eastAsia="標楷體"/>
          <w:szCs w:val="26"/>
        </w:rPr>
        <w:t>分至</w:t>
      </w:r>
      <w:r w:rsidRPr="00953F2E">
        <w:rPr>
          <w:rFonts w:eastAsia="標楷體"/>
          <w:szCs w:val="26"/>
        </w:rPr>
        <w:t>5</w:t>
      </w:r>
      <w:r w:rsidRPr="00953F2E">
        <w:rPr>
          <w:rFonts w:eastAsia="標楷體"/>
          <w:szCs w:val="26"/>
        </w:rPr>
        <w:t>時</w:t>
      </w:r>
      <w:r w:rsidRPr="00953F2E">
        <w:rPr>
          <w:rFonts w:eastAsia="標楷體"/>
          <w:szCs w:val="26"/>
        </w:rPr>
        <w:t>15</w:t>
      </w:r>
      <w:r w:rsidRPr="00953F2E">
        <w:rPr>
          <w:rFonts w:eastAsia="標楷體"/>
          <w:szCs w:val="26"/>
        </w:rPr>
        <w:t>分（下午</w:t>
      </w:r>
      <w:r w:rsidRPr="00953F2E">
        <w:rPr>
          <w:rFonts w:eastAsia="標楷體"/>
          <w:szCs w:val="26"/>
        </w:rPr>
        <w:t>2</w:t>
      </w:r>
      <w:r w:rsidRPr="00953F2E">
        <w:rPr>
          <w:rFonts w:eastAsia="標楷體"/>
          <w:szCs w:val="26"/>
        </w:rPr>
        <w:t>時開始簽到）</w:t>
      </w:r>
    </w:p>
    <w:p w:rsidR="00D92F66" w:rsidRPr="00953F2E" w:rsidRDefault="00E1132D" w:rsidP="004131AC">
      <w:pPr>
        <w:widowControl w:val="0"/>
        <w:tabs>
          <w:tab w:val="left" w:pos="-720"/>
          <w:tab w:val="left" w:pos="1560"/>
          <w:tab w:val="left" w:pos="1843"/>
          <w:tab w:val="left" w:pos="2880"/>
          <w:tab w:val="left" w:pos="3600"/>
          <w:tab w:val="left" w:pos="4320"/>
        </w:tabs>
        <w:autoSpaceDE w:val="0"/>
        <w:autoSpaceDN w:val="0"/>
        <w:adjustRightInd w:val="0"/>
        <w:snapToGrid w:val="0"/>
        <w:rPr>
          <w:rFonts w:eastAsia="標楷體"/>
          <w:szCs w:val="26"/>
        </w:rPr>
      </w:pPr>
      <w:r w:rsidRPr="00953F2E">
        <w:rPr>
          <w:rFonts w:eastAsia="標楷體"/>
          <w:b/>
          <w:szCs w:val="26"/>
        </w:rPr>
        <w:t>地</w:t>
      </w:r>
      <w:r w:rsidRPr="00953F2E">
        <w:rPr>
          <w:rFonts w:eastAsia="標楷體"/>
          <w:b/>
          <w:szCs w:val="26"/>
        </w:rPr>
        <w:t xml:space="preserve">     </w:t>
      </w:r>
      <w:r w:rsidRPr="00953F2E">
        <w:rPr>
          <w:rFonts w:eastAsia="標楷體"/>
          <w:b/>
          <w:szCs w:val="26"/>
        </w:rPr>
        <w:t>點：</w:t>
      </w:r>
      <w:r w:rsidR="004131AC">
        <w:rPr>
          <w:rFonts w:eastAsia="標楷體"/>
          <w:b/>
          <w:szCs w:val="26"/>
        </w:rPr>
        <w:t xml:space="preserve"> </w:t>
      </w:r>
      <w:r w:rsidR="004131AC">
        <w:rPr>
          <w:rFonts w:eastAsiaTheme="minorEastAsia" w:hint="eastAsia"/>
          <w:b/>
          <w:szCs w:val="26"/>
        </w:rPr>
        <w:tab/>
      </w:r>
      <w:r w:rsidRPr="00953F2E">
        <w:rPr>
          <w:rFonts w:eastAsia="標楷體"/>
          <w:szCs w:val="26"/>
        </w:rPr>
        <w:t>中天凱旋國際商務會議中心</w:t>
      </w:r>
      <w:r w:rsidRPr="00953F2E">
        <w:rPr>
          <w:rFonts w:eastAsia="標楷體"/>
          <w:szCs w:val="26"/>
        </w:rPr>
        <w:t xml:space="preserve"> 404</w:t>
      </w:r>
      <w:r w:rsidRPr="00953F2E">
        <w:rPr>
          <w:rFonts w:eastAsia="標楷體"/>
          <w:szCs w:val="26"/>
        </w:rPr>
        <w:t>會議室</w:t>
      </w:r>
    </w:p>
    <w:p w:rsidR="00D92F66" w:rsidRPr="00953F2E" w:rsidRDefault="00E1132D" w:rsidP="004131AC">
      <w:pPr>
        <w:widowControl w:val="0"/>
        <w:tabs>
          <w:tab w:val="left" w:pos="-720"/>
          <w:tab w:val="left" w:pos="0"/>
          <w:tab w:val="left" w:pos="720"/>
          <w:tab w:val="left" w:pos="1560"/>
          <w:tab w:val="left" w:pos="1843"/>
          <w:tab w:val="left" w:pos="2880"/>
          <w:tab w:val="left" w:pos="3600"/>
          <w:tab w:val="left" w:pos="4320"/>
        </w:tabs>
        <w:autoSpaceDE w:val="0"/>
        <w:autoSpaceDN w:val="0"/>
        <w:adjustRightInd w:val="0"/>
        <w:snapToGrid w:val="0"/>
        <w:ind w:firstLineChars="109" w:firstLine="283"/>
        <w:rPr>
          <w:rFonts w:eastAsia="標楷體"/>
          <w:szCs w:val="26"/>
        </w:rPr>
      </w:pPr>
      <w:r w:rsidRPr="00953F2E">
        <w:rPr>
          <w:rFonts w:eastAsia="標楷體"/>
          <w:szCs w:val="26"/>
        </w:rPr>
        <w:t>【地址：廣州市天河北路</w:t>
      </w:r>
      <w:r w:rsidRPr="00953F2E">
        <w:rPr>
          <w:rFonts w:eastAsia="標楷體"/>
          <w:szCs w:val="26"/>
        </w:rPr>
        <w:t>233</w:t>
      </w:r>
      <w:r w:rsidRPr="00953F2E">
        <w:rPr>
          <w:rFonts w:eastAsia="標楷體"/>
          <w:szCs w:val="26"/>
        </w:rPr>
        <w:t>號中信廣場商場</w:t>
      </w:r>
      <w:r w:rsidRPr="00953F2E">
        <w:rPr>
          <w:rFonts w:eastAsia="標楷體"/>
          <w:szCs w:val="26"/>
        </w:rPr>
        <w:t>4</w:t>
      </w:r>
      <w:r w:rsidRPr="00953F2E">
        <w:rPr>
          <w:rFonts w:eastAsia="標楷體"/>
          <w:szCs w:val="26"/>
        </w:rPr>
        <w:t>樓】（近廣州火車東站）</w:t>
      </w:r>
    </w:p>
    <w:p w:rsidR="00D92F66" w:rsidRPr="00953F2E" w:rsidRDefault="00E1132D" w:rsidP="004131AC">
      <w:pPr>
        <w:widowControl w:val="0"/>
        <w:tabs>
          <w:tab w:val="left" w:pos="-720"/>
          <w:tab w:val="left" w:pos="1560"/>
          <w:tab w:val="left" w:pos="1843"/>
          <w:tab w:val="left" w:pos="2160"/>
          <w:tab w:val="left" w:pos="2880"/>
          <w:tab w:val="left" w:pos="3600"/>
          <w:tab w:val="left" w:pos="4320"/>
        </w:tabs>
        <w:autoSpaceDE w:val="0"/>
        <w:autoSpaceDN w:val="0"/>
        <w:adjustRightInd w:val="0"/>
        <w:snapToGrid w:val="0"/>
        <w:rPr>
          <w:rFonts w:eastAsia="標楷體"/>
          <w:szCs w:val="26"/>
        </w:rPr>
      </w:pPr>
      <w:r w:rsidRPr="00953F2E">
        <w:rPr>
          <w:rFonts w:eastAsia="標楷體"/>
          <w:b/>
          <w:szCs w:val="26"/>
        </w:rPr>
        <w:t>費</w:t>
      </w:r>
      <w:r w:rsidRPr="00953F2E">
        <w:rPr>
          <w:rFonts w:eastAsia="標楷體"/>
          <w:b/>
          <w:szCs w:val="26"/>
        </w:rPr>
        <w:t xml:space="preserve">     </w:t>
      </w:r>
      <w:r w:rsidRPr="00953F2E">
        <w:rPr>
          <w:rFonts w:eastAsia="標楷體"/>
          <w:b/>
          <w:szCs w:val="26"/>
        </w:rPr>
        <w:t>用：</w:t>
      </w:r>
      <w:r w:rsidRPr="00953F2E">
        <w:rPr>
          <w:rFonts w:eastAsia="標楷體"/>
          <w:szCs w:val="26"/>
        </w:rPr>
        <w:tab/>
      </w:r>
      <w:r w:rsidRPr="00953F2E">
        <w:rPr>
          <w:rFonts w:eastAsia="標楷體"/>
          <w:szCs w:val="26"/>
        </w:rPr>
        <w:t>全免</w:t>
      </w:r>
    </w:p>
    <w:p w:rsidR="00D92F66" w:rsidRPr="00953F2E" w:rsidRDefault="00E1132D" w:rsidP="004131AC">
      <w:pPr>
        <w:tabs>
          <w:tab w:val="left" w:pos="1560"/>
        </w:tabs>
        <w:adjustRightInd w:val="0"/>
        <w:snapToGrid w:val="0"/>
        <w:ind w:right="149"/>
        <w:jc w:val="both"/>
        <w:rPr>
          <w:rFonts w:eastAsia="標楷體"/>
          <w:szCs w:val="26"/>
        </w:rPr>
      </w:pPr>
      <w:r w:rsidRPr="00953F2E">
        <w:rPr>
          <w:rFonts w:eastAsia="標楷體"/>
          <w:b/>
          <w:szCs w:val="26"/>
        </w:rPr>
        <w:t>語</w:t>
      </w:r>
      <w:r w:rsidRPr="00953F2E">
        <w:rPr>
          <w:rFonts w:eastAsia="標楷體"/>
          <w:b/>
          <w:szCs w:val="26"/>
        </w:rPr>
        <w:t xml:space="preserve">     </w:t>
      </w:r>
      <w:r w:rsidRPr="00953F2E">
        <w:rPr>
          <w:rFonts w:eastAsia="標楷體"/>
          <w:b/>
          <w:szCs w:val="26"/>
        </w:rPr>
        <w:t>言：</w:t>
      </w:r>
      <w:r w:rsidRPr="00953F2E">
        <w:rPr>
          <w:rFonts w:eastAsia="標楷體"/>
          <w:szCs w:val="26"/>
        </w:rPr>
        <w:tab/>
      </w:r>
      <w:r w:rsidRPr="00953F2E">
        <w:rPr>
          <w:rFonts w:eastAsia="標楷體"/>
          <w:szCs w:val="26"/>
        </w:rPr>
        <w:t>普通話</w:t>
      </w:r>
      <w:r w:rsidRPr="00953F2E">
        <w:rPr>
          <w:rFonts w:eastAsia="標楷體"/>
          <w:szCs w:val="26"/>
        </w:rPr>
        <w:t xml:space="preserve"> </w:t>
      </w:r>
      <w:r w:rsidRPr="00953F2E">
        <w:rPr>
          <w:rFonts w:eastAsia="標楷體"/>
          <w:szCs w:val="26"/>
        </w:rPr>
        <w:t>及粵語</w:t>
      </w:r>
    </w:p>
    <w:p w:rsidR="00AF7D06" w:rsidRPr="00953F2E" w:rsidRDefault="00AF7D06">
      <w:pPr>
        <w:rPr>
          <w:rFonts w:eastAsia="標楷體"/>
          <w:b/>
          <w:color w:val="FF0000"/>
          <w:szCs w:val="26"/>
        </w:rPr>
      </w:pPr>
    </w:p>
    <w:p w:rsidR="00D92F66" w:rsidRPr="00953F2E" w:rsidRDefault="00E1132D">
      <w:pPr>
        <w:rPr>
          <w:rFonts w:eastAsiaTheme="minorEastAsia"/>
          <w:szCs w:val="26"/>
        </w:rPr>
      </w:pPr>
      <w:r w:rsidRPr="00953F2E">
        <w:rPr>
          <w:rFonts w:eastAsia="標楷體"/>
          <w:b/>
          <w:szCs w:val="26"/>
        </w:rPr>
        <w:t>報名方式</w:t>
      </w:r>
      <w:r w:rsidRPr="00953F2E">
        <w:rPr>
          <w:rFonts w:eastAsia="標楷體"/>
          <w:b/>
          <w:szCs w:val="26"/>
        </w:rPr>
        <w:t xml:space="preserve"> </w:t>
      </w:r>
      <w:r w:rsidRPr="00953F2E">
        <w:rPr>
          <w:rFonts w:eastAsia="標楷體"/>
          <w:b/>
          <w:szCs w:val="26"/>
        </w:rPr>
        <w:t>：</w:t>
      </w:r>
      <w:r w:rsidRPr="00953F2E">
        <w:rPr>
          <w:rFonts w:eastAsia="標楷體"/>
          <w:szCs w:val="26"/>
        </w:rPr>
        <w:t>請填妥附件的報名表，並於</w:t>
      </w:r>
      <w:r w:rsidRPr="00953F2E">
        <w:rPr>
          <w:rFonts w:eastAsia="標楷體"/>
          <w:b/>
          <w:szCs w:val="26"/>
          <w:u w:val="single"/>
        </w:rPr>
        <w:t>201</w:t>
      </w:r>
      <w:r w:rsidR="003730FD" w:rsidRPr="00953F2E">
        <w:rPr>
          <w:rFonts w:eastAsiaTheme="minorEastAsia" w:hint="eastAsia"/>
          <w:b/>
          <w:szCs w:val="26"/>
          <w:u w:val="single"/>
        </w:rPr>
        <w:t>9</w:t>
      </w:r>
      <w:r w:rsidRPr="00953F2E">
        <w:rPr>
          <w:rFonts w:eastAsia="標楷體"/>
          <w:b/>
          <w:szCs w:val="26"/>
          <w:u w:val="single"/>
        </w:rPr>
        <w:t>年</w:t>
      </w:r>
      <w:r w:rsidRPr="00953F2E">
        <w:rPr>
          <w:rFonts w:eastAsia="標楷體"/>
          <w:b/>
          <w:szCs w:val="26"/>
          <w:u w:val="single"/>
        </w:rPr>
        <w:t>1</w:t>
      </w:r>
      <w:r w:rsidRPr="00953F2E">
        <w:rPr>
          <w:rFonts w:eastAsia="標楷體"/>
          <w:b/>
          <w:szCs w:val="26"/>
          <w:u w:val="single"/>
        </w:rPr>
        <w:t>月</w:t>
      </w:r>
      <w:r w:rsidR="003730FD" w:rsidRPr="00953F2E">
        <w:rPr>
          <w:rFonts w:eastAsia="標楷體"/>
          <w:b/>
          <w:szCs w:val="26"/>
          <w:u w:val="single"/>
        </w:rPr>
        <w:t>1</w:t>
      </w:r>
      <w:r w:rsidR="000B04C3">
        <w:rPr>
          <w:rFonts w:eastAsiaTheme="minorEastAsia" w:hint="eastAsia"/>
          <w:b/>
          <w:szCs w:val="26"/>
          <w:u w:val="single"/>
        </w:rPr>
        <w:t>4</w:t>
      </w:r>
      <w:bookmarkStart w:id="0" w:name="_GoBack"/>
      <w:r w:rsidRPr="00953F2E">
        <w:rPr>
          <w:rFonts w:eastAsia="標楷體"/>
          <w:b/>
          <w:szCs w:val="26"/>
          <w:u w:val="single"/>
        </w:rPr>
        <w:t>日（星期</w:t>
      </w:r>
      <w:r w:rsidR="00B7128A" w:rsidRPr="00B7128A">
        <w:rPr>
          <w:rFonts w:eastAsia="標楷體" w:hint="eastAsia"/>
          <w:b/>
          <w:szCs w:val="26"/>
          <w:u w:val="single"/>
        </w:rPr>
        <w:t>一</w:t>
      </w:r>
      <w:r w:rsidRPr="00953F2E">
        <w:rPr>
          <w:rFonts w:eastAsia="標楷體"/>
          <w:b/>
          <w:szCs w:val="26"/>
          <w:u w:val="single"/>
        </w:rPr>
        <w:t>）</w:t>
      </w:r>
      <w:bookmarkEnd w:id="0"/>
      <w:r w:rsidRPr="00953F2E">
        <w:rPr>
          <w:rFonts w:eastAsia="標楷體"/>
          <w:b/>
          <w:szCs w:val="26"/>
          <w:u w:val="single"/>
        </w:rPr>
        <w:t>前</w:t>
      </w:r>
      <w:r w:rsidRPr="00953F2E">
        <w:rPr>
          <w:rFonts w:eastAsia="標楷體"/>
          <w:szCs w:val="26"/>
        </w:rPr>
        <w:t>以傳真（</w:t>
      </w:r>
      <w:r w:rsidRPr="00953F2E">
        <w:rPr>
          <w:rFonts w:eastAsia="標楷體"/>
          <w:szCs w:val="26"/>
        </w:rPr>
        <w:t>(86 20) 3891  1221</w:t>
      </w:r>
      <w:r w:rsidRPr="00953F2E">
        <w:rPr>
          <w:rFonts w:eastAsia="標楷體"/>
          <w:szCs w:val="26"/>
        </w:rPr>
        <w:t>）或電郵（</w:t>
      </w:r>
      <w:r w:rsidRPr="00953F2E">
        <w:rPr>
          <w:rFonts w:eastAsia="標楷體"/>
          <w:szCs w:val="26"/>
        </w:rPr>
        <w:t>yolanda_li@gdeto.gov.hk</w:t>
      </w:r>
      <w:r w:rsidRPr="00953F2E">
        <w:rPr>
          <w:rFonts w:eastAsia="標楷體"/>
          <w:szCs w:val="26"/>
        </w:rPr>
        <w:t>）交回駐粵辦</w:t>
      </w:r>
    </w:p>
    <w:p w:rsidR="00AF7D06" w:rsidRPr="003730FD" w:rsidRDefault="00AF7D06">
      <w:pPr>
        <w:rPr>
          <w:rFonts w:eastAsiaTheme="minorEastAsia"/>
          <w:sz w:val="28"/>
          <w:szCs w:val="28"/>
        </w:rPr>
      </w:pPr>
    </w:p>
    <w:p w:rsidR="00AF7D06" w:rsidRPr="00AF7D06" w:rsidRDefault="00AF7D06">
      <w:pPr>
        <w:rPr>
          <w:rFonts w:eastAsiaTheme="minorEastAsia"/>
          <w:color w:val="FF0000"/>
          <w:sz w:val="28"/>
          <w:szCs w:val="28"/>
        </w:rPr>
      </w:pPr>
    </w:p>
    <w:p w:rsidR="00D92F66" w:rsidRPr="00AF7D06" w:rsidRDefault="00E1132D">
      <w:pPr>
        <w:jc w:val="right"/>
        <w:rPr>
          <w:rFonts w:eastAsia="標楷體"/>
          <w:b/>
          <w:bCs/>
          <w:spacing w:val="20"/>
          <w:sz w:val="32"/>
          <w:szCs w:val="32"/>
          <w:u w:val="single"/>
        </w:rPr>
      </w:pPr>
      <w:r w:rsidRPr="00AF7D06">
        <w:rPr>
          <w:rFonts w:eastAsia="標楷體"/>
          <w:b/>
          <w:bCs/>
          <w:spacing w:val="20"/>
          <w:sz w:val="32"/>
          <w:szCs w:val="32"/>
          <w:u w:val="single"/>
        </w:rPr>
        <w:t>附件</w:t>
      </w:r>
    </w:p>
    <w:p w:rsidR="00D92F66" w:rsidRPr="00AF7D06" w:rsidRDefault="00D92F66">
      <w:pPr>
        <w:rPr>
          <w:rFonts w:eastAsia="標楷體"/>
          <w:spacing w:val="20"/>
          <w:sz w:val="32"/>
          <w:szCs w:val="32"/>
        </w:rPr>
      </w:pPr>
    </w:p>
    <w:p w:rsidR="00D92F66" w:rsidRPr="00AF7D06" w:rsidRDefault="00E1132D">
      <w:pPr>
        <w:jc w:val="both"/>
        <w:rPr>
          <w:rFonts w:eastAsia="標楷體"/>
          <w:spacing w:val="20"/>
          <w:sz w:val="32"/>
          <w:szCs w:val="32"/>
        </w:rPr>
      </w:pPr>
      <w:r w:rsidRPr="00AF7D06">
        <w:rPr>
          <w:rFonts w:eastAsia="標楷體"/>
          <w:spacing w:val="20"/>
          <w:sz w:val="32"/>
          <w:szCs w:val="32"/>
        </w:rPr>
        <w:t>致：</w:t>
      </w:r>
      <w:r w:rsidRPr="00AF7D06">
        <w:rPr>
          <w:rFonts w:eastAsia="標楷體"/>
          <w:spacing w:val="20"/>
          <w:sz w:val="32"/>
          <w:szCs w:val="32"/>
        </w:rPr>
        <w:tab/>
      </w:r>
      <w:r w:rsidRPr="00AF7D06">
        <w:rPr>
          <w:rFonts w:eastAsia="標楷體"/>
          <w:spacing w:val="20"/>
          <w:sz w:val="32"/>
          <w:szCs w:val="32"/>
        </w:rPr>
        <w:t>香港特區政府駐粤經濟貿易辦事處經貿關係組</w:t>
      </w:r>
    </w:p>
    <w:p w:rsidR="00D92F66" w:rsidRPr="00AF7D06" w:rsidRDefault="00E1132D">
      <w:pPr>
        <w:ind w:firstLineChars="253" w:firstLine="810"/>
        <w:jc w:val="both"/>
        <w:rPr>
          <w:rFonts w:eastAsia="標楷體"/>
          <w:spacing w:val="20"/>
          <w:sz w:val="32"/>
          <w:szCs w:val="32"/>
        </w:rPr>
      </w:pPr>
      <w:r w:rsidRPr="00AF7D06">
        <w:rPr>
          <w:rFonts w:eastAsia="標楷體"/>
          <w:noProof/>
          <w:spacing w:val="20"/>
          <w:sz w:val="32"/>
          <w:szCs w:val="32"/>
        </w:rPr>
        <mc:AlternateContent>
          <mc:Choice Requires="wps">
            <w:drawing>
              <wp:anchor distT="0" distB="0" distL="114300" distR="114300" simplePos="0" relativeHeight="251659264" behindDoc="0" locked="0" layoutInCell="1" allowOverlap="1" wp14:anchorId="39438A61" wp14:editId="6F2083BA">
                <wp:simplePos x="0" y="0"/>
                <wp:positionH relativeFrom="column">
                  <wp:posOffset>4839335</wp:posOffset>
                </wp:positionH>
                <wp:positionV relativeFrom="paragraph">
                  <wp:posOffset>13970</wp:posOffset>
                </wp:positionV>
                <wp:extent cx="1274445" cy="664845"/>
                <wp:effectExtent l="5715" t="10160" r="5715"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664845"/>
                        </a:xfrm>
                        <a:prstGeom prst="bevel">
                          <a:avLst>
                            <a:gd name="adj" fmla="val 8333"/>
                          </a:avLst>
                        </a:prstGeom>
                        <a:solidFill>
                          <a:srgbClr val="FFFFFF"/>
                        </a:solidFill>
                        <a:ln w="9525">
                          <a:solidFill>
                            <a:srgbClr val="000000"/>
                          </a:solidFill>
                          <a:miter lim="200000"/>
                        </a:ln>
                      </wps:spPr>
                      <wps:txbx>
                        <w:txbxContent>
                          <w:p w:rsidR="00D92F66" w:rsidRDefault="00E1132D">
                            <w:pPr>
                              <w:jc w:val="center"/>
                              <w:rPr>
                                <w:rFonts w:ascii="標楷體" w:eastAsia="標楷體" w:hAnsi="標楷體"/>
                                <w:b/>
                                <w:bCs/>
                                <w:color w:val="1F497D"/>
                                <w:spacing w:val="12"/>
                                <w:sz w:val="28"/>
                              </w:rPr>
                            </w:pPr>
                            <w:r>
                              <w:rPr>
                                <w:rFonts w:ascii="標楷體" w:eastAsia="標楷體" w:hAnsi="標楷體" w:hint="eastAsia"/>
                                <w:b/>
                                <w:bCs/>
                                <w:color w:val="1F497D"/>
                                <w:spacing w:val="12"/>
                                <w:sz w:val="28"/>
                              </w:rPr>
                              <w:t>名額有限</w:t>
                            </w:r>
                          </w:p>
                          <w:p w:rsidR="00D92F66" w:rsidRDefault="00E1132D">
                            <w:pPr>
                              <w:jc w:val="center"/>
                              <w:rPr>
                                <w:rFonts w:ascii="標楷體" w:eastAsia="標楷體" w:hAnsi="標楷體"/>
                                <w:b/>
                                <w:bCs/>
                                <w:color w:val="1F497D"/>
                                <w:sz w:val="30"/>
                              </w:rPr>
                            </w:pPr>
                            <w:r>
                              <w:rPr>
                                <w:rFonts w:ascii="標楷體" w:eastAsia="標楷體" w:hAnsi="標楷體" w:hint="eastAsia"/>
                                <w:b/>
                                <w:bCs/>
                                <w:color w:val="1F497D"/>
                                <w:spacing w:val="12"/>
                                <w:sz w:val="28"/>
                              </w:rPr>
                              <w:t>報名從速</w:t>
                            </w:r>
                          </w:p>
                        </w:txbxContent>
                      </wps:txbx>
                      <wps:bodyPr rot="0" vert="horz" wrap="square" lIns="91440" tIns="45720" rIns="91440" bIns="45720" anchor="t" anchorCtr="0" upright="1">
                        <a:noAutofit/>
                      </wps:bodyP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 o:spid="_x0000_s1026" type="#_x0000_t84" style="position:absolute;left:0;text-align:left;margin-left:381.05pt;margin-top:1.1pt;width:100.35pt;height:5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" adj="1800">
                <v:stroke miterlimit="2"/>
                <v:textbox>
                  <w:txbxContent>
                    <w:p w:rsidR="00D92F66" w:rsidRDefault="00E1132D">
                      <w:pPr>
                        <w:jc w:val="center"/>
                        <w:rPr>
                          <w:rFonts w:ascii="標楷體" w:eastAsia="標楷體" w:hAnsi="標楷體"/>
                          <w:b/>
                          <w:bCs/>
                          <w:color w:val="1F497D"/>
                          <w:spacing w:val="12"/>
                          <w:sz w:val="28"/>
                        </w:rPr>
                      </w:pPr>
                      <w:r>
                        <w:rPr>
                          <w:rFonts w:ascii="標楷體" w:eastAsia="標楷體" w:hAnsi="標楷體" w:hint="eastAsia"/>
                          <w:b/>
                          <w:bCs/>
                          <w:color w:val="1F497D"/>
                          <w:spacing w:val="12"/>
                          <w:sz w:val="28"/>
                        </w:rPr>
                        <w:t>名額有限</w:t>
                      </w:r>
                    </w:p>
                    <w:p w:rsidR="00D92F66" w:rsidRDefault="00E1132D">
                      <w:pPr>
                        <w:jc w:val="center"/>
                        <w:rPr>
                          <w:rFonts w:ascii="標楷體" w:eastAsia="標楷體" w:hAnsi="標楷體"/>
                          <w:b/>
                          <w:bCs/>
                          <w:color w:val="1F497D"/>
                          <w:sz w:val="30"/>
                        </w:rPr>
                      </w:pPr>
                      <w:r>
                        <w:rPr>
                          <w:rFonts w:ascii="標楷體" w:eastAsia="標楷體" w:hAnsi="標楷體" w:hint="eastAsia"/>
                          <w:b/>
                          <w:bCs/>
                          <w:color w:val="1F497D"/>
                          <w:spacing w:val="12"/>
                          <w:sz w:val="28"/>
                        </w:rPr>
                        <w:t>報名從速</w:t>
                      </w:r>
                    </w:p>
                  </w:txbxContent>
                </v:textbox>
              </v:shape>
            </w:pict>
          </mc:Fallback>
        </mc:AlternateContent>
      </w:r>
      <w:r w:rsidRPr="00AF7D06">
        <w:rPr>
          <w:rFonts w:eastAsia="標楷體"/>
          <w:spacing w:val="20"/>
          <w:sz w:val="32"/>
          <w:szCs w:val="32"/>
        </w:rPr>
        <w:t>（傳真：</w:t>
      </w:r>
      <w:r w:rsidRPr="00AF7D06">
        <w:rPr>
          <w:rFonts w:eastAsia="標楷體"/>
          <w:sz w:val="32"/>
          <w:szCs w:val="32"/>
        </w:rPr>
        <w:t>(86 20) 3891 1221</w:t>
      </w:r>
      <w:r w:rsidRPr="00AF7D06">
        <w:rPr>
          <w:rFonts w:eastAsia="標楷體"/>
          <w:spacing w:val="20"/>
          <w:sz w:val="32"/>
          <w:szCs w:val="32"/>
        </w:rPr>
        <w:t>）</w:t>
      </w:r>
    </w:p>
    <w:p w:rsidR="00D92F66" w:rsidRPr="00AF7D06" w:rsidRDefault="00D92F66">
      <w:pPr>
        <w:jc w:val="both"/>
        <w:rPr>
          <w:rFonts w:eastAsia="標楷體"/>
          <w:spacing w:val="20"/>
          <w:sz w:val="32"/>
          <w:szCs w:val="32"/>
        </w:rPr>
      </w:pPr>
    </w:p>
    <w:p w:rsidR="00D92F66" w:rsidRPr="00AF7D06" w:rsidRDefault="00D92F66">
      <w:pPr>
        <w:rPr>
          <w:rFonts w:eastAsia="標楷體"/>
          <w:spacing w:val="20"/>
          <w:sz w:val="32"/>
          <w:szCs w:val="32"/>
        </w:rPr>
      </w:pPr>
    </w:p>
    <w:p w:rsidR="00D92F66" w:rsidRPr="009E744C" w:rsidRDefault="003730FD">
      <w:pPr>
        <w:snapToGrid w:val="0"/>
        <w:jc w:val="center"/>
        <w:rPr>
          <w:rFonts w:eastAsia="標楷體"/>
          <w:b/>
          <w:bCs/>
          <w:spacing w:val="20"/>
          <w:sz w:val="32"/>
          <w:szCs w:val="32"/>
        </w:rPr>
      </w:pPr>
      <w:r w:rsidRPr="009E744C">
        <w:rPr>
          <w:rFonts w:eastAsia="標楷體"/>
          <w:b/>
          <w:bCs/>
          <w:spacing w:val="20"/>
          <w:sz w:val="32"/>
          <w:szCs w:val="32"/>
        </w:rPr>
        <w:t>201</w:t>
      </w:r>
      <w:r w:rsidRPr="009E744C">
        <w:rPr>
          <w:rFonts w:eastAsiaTheme="minorEastAsia" w:hint="eastAsia"/>
          <w:b/>
          <w:bCs/>
          <w:spacing w:val="20"/>
          <w:sz w:val="32"/>
          <w:szCs w:val="32"/>
        </w:rPr>
        <w:t>9</w:t>
      </w:r>
      <w:r w:rsidR="00E1132D" w:rsidRPr="009E744C">
        <w:rPr>
          <w:rFonts w:eastAsia="標楷體"/>
          <w:b/>
          <w:bCs/>
          <w:spacing w:val="20"/>
          <w:sz w:val="32"/>
          <w:szCs w:val="32"/>
        </w:rPr>
        <w:t>年</w:t>
      </w:r>
      <w:r w:rsidR="00674414">
        <w:rPr>
          <w:rFonts w:eastAsia="標楷體"/>
          <w:b/>
          <w:bCs/>
          <w:spacing w:val="20"/>
          <w:sz w:val="32"/>
          <w:szCs w:val="32"/>
        </w:rPr>
        <w:t>1</w:t>
      </w:r>
      <w:r w:rsidR="00674414">
        <w:rPr>
          <w:rFonts w:eastAsia="標楷體"/>
          <w:b/>
          <w:bCs/>
          <w:spacing w:val="20"/>
          <w:sz w:val="32"/>
          <w:szCs w:val="32"/>
        </w:rPr>
        <w:t>月</w:t>
      </w:r>
      <w:r w:rsidR="00674414">
        <w:rPr>
          <w:rFonts w:eastAsia="標楷體"/>
          <w:b/>
          <w:bCs/>
          <w:spacing w:val="20"/>
          <w:sz w:val="32"/>
          <w:szCs w:val="32"/>
        </w:rPr>
        <w:t>16</w:t>
      </w:r>
      <w:r w:rsidR="00674414">
        <w:rPr>
          <w:rFonts w:eastAsia="標楷體"/>
          <w:b/>
          <w:bCs/>
          <w:spacing w:val="20"/>
          <w:sz w:val="32"/>
          <w:szCs w:val="32"/>
        </w:rPr>
        <w:t>日</w:t>
      </w:r>
    </w:p>
    <w:p w:rsidR="00D92F66" w:rsidRPr="00AF7D06" w:rsidRDefault="00E1132D">
      <w:pPr>
        <w:snapToGrid w:val="0"/>
        <w:jc w:val="center"/>
        <w:rPr>
          <w:rFonts w:eastAsia="標楷體"/>
          <w:b/>
          <w:spacing w:val="30"/>
          <w:sz w:val="32"/>
          <w:szCs w:val="32"/>
        </w:rPr>
      </w:pPr>
      <w:r w:rsidRPr="00AF7D06">
        <w:rPr>
          <w:rFonts w:eastAsia="標楷體"/>
          <w:b/>
          <w:spacing w:val="30"/>
          <w:sz w:val="32"/>
          <w:szCs w:val="32"/>
        </w:rPr>
        <w:t>「</w:t>
      </w:r>
      <w:r w:rsidRPr="00AF7D06">
        <w:rPr>
          <w:rFonts w:eastAsia="標楷體"/>
          <w:b/>
          <w:spacing w:val="30"/>
          <w:sz w:val="32"/>
          <w:szCs w:val="32"/>
        </w:rPr>
        <w:t>201</w:t>
      </w:r>
      <w:r w:rsidR="003730FD">
        <w:rPr>
          <w:rFonts w:eastAsiaTheme="minorEastAsia" w:hint="eastAsia"/>
          <w:b/>
          <w:bCs/>
          <w:spacing w:val="20"/>
          <w:sz w:val="32"/>
          <w:szCs w:val="32"/>
        </w:rPr>
        <w:t>9</w:t>
      </w:r>
      <w:r w:rsidRPr="00AF7D06">
        <w:rPr>
          <w:rFonts w:eastAsia="標楷體"/>
          <w:b/>
          <w:bCs/>
          <w:sz w:val="32"/>
          <w:szCs w:val="32"/>
        </w:rPr>
        <w:t>年內地稅務政策專題講座</w:t>
      </w:r>
      <w:r w:rsidRPr="00AF7D06">
        <w:rPr>
          <w:rFonts w:eastAsia="標楷體"/>
          <w:b/>
          <w:spacing w:val="30"/>
          <w:sz w:val="32"/>
          <w:szCs w:val="32"/>
        </w:rPr>
        <w:t>」</w:t>
      </w:r>
    </w:p>
    <w:p w:rsidR="00D92F66" w:rsidRPr="00AF7D06" w:rsidRDefault="00D92F66">
      <w:pPr>
        <w:snapToGrid w:val="0"/>
        <w:jc w:val="center"/>
        <w:rPr>
          <w:rFonts w:eastAsia="標楷體"/>
          <w:b/>
          <w:bCs/>
          <w:spacing w:val="20"/>
          <w:sz w:val="32"/>
          <w:szCs w:val="32"/>
        </w:rPr>
      </w:pPr>
    </w:p>
    <w:p w:rsidR="00D92F66" w:rsidRPr="00AF7D06" w:rsidRDefault="00E1132D">
      <w:pPr>
        <w:jc w:val="center"/>
        <w:rPr>
          <w:rFonts w:eastAsia="標楷體"/>
          <w:b/>
          <w:bCs/>
          <w:spacing w:val="10"/>
          <w:sz w:val="32"/>
          <w:szCs w:val="32"/>
        </w:rPr>
      </w:pPr>
      <w:r w:rsidRPr="00AF7D06">
        <w:rPr>
          <w:rFonts w:eastAsia="標楷體"/>
          <w:b/>
          <w:bCs/>
          <w:spacing w:val="10"/>
          <w:sz w:val="32"/>
          <w:szCs w:val="32"/>
        </w:rPr>
        <w:t>報名表</w:t>
      </w:r>
    </w:p>
    <w:p w:rsidR="00D92F66" w:rsidRPr="00AF7D06" w:rsidRDefault="00E1132D">
      <w:pPr>
        <w:jc w:val="center"/>
        <w:rPr>
          <w:rFonts w:eastAsia="標楷體"/>
          <w:spacing w:val="20"/>
          <w:sz w:val="28"/>
          <w:szCs w:val="28"/>
        </w:rPr>
      </w:pPr>
      <w:r w:rsidRPr="00AF7D06">
        <w:rPr>
          <w:rFonts w:eastAsia="標楷體"/>
          <w:spacing w:val="20"/>
          <w:sz w:val="28"/>
          <w:szCs w:val="28"/>
        </w:rPr>
        <w:t>（請於</w:t>
      </w:r>
      <w:r w:rsidRPr="00AF7D06">
        <w:rPr>
          <w:rFonts w:eastAsia="標楷體"/>
          <w:spacing w:val="20"/>
          <w:sz w:val="28"/>
          <w:szCs w:val="28"/>
          <w:u w:val="single"/>
        </w:rPr>
        <w:t>201</w:t>
      </w:r>
      <w:r w:rsidR="003730FD">
        <w:rPr>
          <w:rFonts w:eastAsiaTheme="minorEastAsia" w:hint="eastAsia"/>
          <w:spacing w:val="20"/>
          <w:sz w:val="28"/>
          <w:szCs w:val="28"/>
          <w:u w:val="single"/>
        </w:rPr>
        <w:t>9</w:t>
      </w:r>
      <w:r w:rsidRPr="00AF7D06">
        <w:rPr>
          <w:rFonts w:eastAsia="標楷體"/>
          <w:spacing w:val="20"/>
          <w:sz w:val="28"/>
          <w:szCs w:val="28"/>
          <w:u w:val="single"/>
        </w:rPr>
        <w:t>年</w:t>
      </w:r>
      <w:r w:rsidRPr="00AF7D06">
        <w:rPr>
          <w:rFonts w:eastAsia="標楷體"/>
          <w:spacing w:val="20"/>
          <w:sz w:val="28"/>
          <w:szCs w:val="28"/>
          <w:u w:val="single"/>
        </w:rPr>
        <w:t>1</w:t>
      </w:r>
      <w:r w:rsidRPr="00AF7D06">
        <w:rPr>
          <w:rFonts w:eastAsia="標楷體"/>
          <w:spacing w:val="20"/>
          <w:sz w:val="28"/>
          <w:szCs w:val="28"/>
          <w:u w:val="single"/>
        </w:rPr>
        <w:t>月</w:t>
      </w:r>
      <w:r w:rsidR="003730FD">
        <w:rPr>
          <w:rFonts w:eastAsia="標楷體"/>
          <w:spacing w:val="20"/>
          <w:sz w:val="28"/>
          <w:szCs w:val="28"/>
          <w:u w:val="single"/>
        </w:rPr>
        <w:t>1</w:t>
      </w:r>
      <w:r w:rsidR="005A1183">
        <w:rPr>
          <w:rFonts w:eastAsiaTheme="minorEastAsia" w:hint="eastAsia"/>
          <w:spacing w:val="20"/>
          <w:sz w:val="28"/>
          <w:szCs w:val="28"/>
          <w:u w:val="single"/>
        </w:rPr>
        <w:t>4</w:t>
      </w:r>
      <w:r w:rsidRPr="00AF7D06">
        <w:rPr>
          <w:rFonts w:eastAsia="標楷體"/>
          <w:spacing w:val="20"/>
          <w:sz w:val="28"/>
          <w:szCs w:val="28"/>
          <w:u w:val="single"/>
        </w:rPr>
        <w:t>日</w:t>
      </w:r>
      <w:r w:rsidRPr="00AF7D06">
        <w:rPr>
          <w:rFonts w:eastAsia="標楷體"/>
          <w:spacing w:val="20"/>
          <w:sz w:val="28"/>
          <w:szCs w:val="28"/>
        </w:rPr>
        <w:t>前回覆）</w:t>
      </w:r>
    </w:p>
    <w:p w:rsidR="00D92F66" w:rsidRPr="00AF7D06" w:rsidRDefault="00D92F66">
      <w:pPr>
        <w:jc w:val="both"/>
        <w:rPr>
          <w:rFonts w:eastAsia="標楷體"/>
          <w:spacing w:val="20"/>
          <w:sz w:val="32"/>
          <w:szCs w:val="32"/>
        </w:rPr>
      </w:pPr>
    </w:p>
    <w:tbl>
      <w:tblPr>
        <w:tblW w:w="9098" w:type="dxa"/>
        <w:tblLayout w:type="fixed"/>
        <w:tblCellMar>
          <w:left w:w="0" w:type="dxa"/>
          <w:right w:w="0" w:type="dxa"/>
        </w:tblCellMar>
        <w:tblLook w:val="04A0" w:firstRow="1" w:lastRow="0" w:firstColumn="1" w:lastColumn="0" w:noHBand="0" w:noVBand="1"/>
      </w:tblPr>
      <w:tblGrid>
        <w:gridCol w:w="380"/>
        <w:gridCol w:w="1463"/>
        <w:gridCol w:w="2210"/>
        <w:gridCol w:w="625"/>
        <w:gridCol w:w="1300"/>
        <w:gridCol w:w="2774"/>
        <w:gridCol w:w="346"/>
      </w:tblGrid>
      <w:tr w:rsidR="00D92F66" w:rsidRPr="00AF7D06">
        <w:trPr>
          <w:gridAfter w:val="1"/>
          <w:wAfter w:w="346" w:type="dxa"/>
          <w:cantSplit/>
          <w:trHeight w:val="337"/>
        </w:trPr>
        <w:tc>
          <w:tcPr>
            <w:tcW w:w="4053" w:type="dxa"/>
            <w:gridSpan w:val="3"/>
          </w:tcPr>
          <w:p w:rsidR="00D92F66" w:rsidRPr="00AF7D06" w:rsidRDefault="00D92F66">
            <w:pPr>
              <w:rPr>
                <w:rFonts w:eastAsia="標楷體"/>
                <w:spacing w:val="20"/>
                <w:sz w:val="32"/>
                <w:szCs w:val="32"/>
              </w:rPr>
            </w:pPr>
          </w:p>
        </w:tc>
        <w:tc>
          <w:tcPr>
            <w:tcW w:w="4699" w:type="dxa"/>
            <w:gridSpan w:val="3"/>
          </w:tcPr>
          <w:p w:rsidR="00D92F66" w:rsidRPr="00AF7D06" w:rsidRDefault="00E1132D">
            <w:pPr>
              <w:tabs>
                <w:tab w:val="left" w:pos="4745"/>
              </w:tabs>
              <w:rPr>
                <w:rFonts w:eastAsia="標楷體"/>
                <w:spacing w:val="20"/>
                <w:sz w:val="32"/>
                <w:szCs w:val="32"/>
              </w:rPr>
            </w:pPr>
            <w:r w:rsidRPr="00AF7D06">
              <w:rPr>
                <w:rFonts w:eastAsia="標楷體"/>
                <w:spacing w:val="20"/>
                <w:sz w:val="32"/>
                <w:szCs w:val="32"/>
              </w:rPr>
              <w:tab/>
            </w:r>
          </w:p>
        </w:tc>
      </w:tr>
      <w:tr w:rsidR="00D92F66" w:rsidRPr="00AF7D06">
        <w:trPr>
          <w:gridBefore w:val="1"/>
          <w:wBefore w:w="380" w:type="dxa"/>
          <w:cantSplit/>
        </w:trPr>
        <w:tc>
          <w:tcPr>
            <w:tcW w:w="1463" w:type="dxa"/>
            <w:vAlign w:val="bottom"/>
          </w:tcPr>
          <w:p w:rsidR="00D92F66" w:rsidRPr="00AF7D06" w:rsidRDefault="00E1132D">
            <w:pPr>
              <w:spacing w:before="240"/>
              <w:rPr>
                <w:rFonts w:eastAsia="標楷體"/>
                <w:spacing w:val="20"/>
                <w:sz w:val="32"/>
                <w:szCs w:val="32"/>
              </w:rPr>
            </w:pPr>
            <w:r w:rsidRPr="00AF7D06">
              <w:rPr>
                <w:rFonts w:eastAsia="標楷體"/>
                <w:spacing w:val="20"/>
                <w:sz w:val="32"/>
                <w:szCs w:val="32"/>
              </w:rPr>
              <w:t>姓名：</w:t>
            </w:r>
          </w:p>
        </w:tc>
        <w:tc>
          <w:tcPr>
            <w:tcW w:w="2835" w:type="dxa"/>
            <w:gridSpan w:val="2"/>
            <w:tcBorders>
              <w:bottom w:val="single" w:sz="4" w:space="0" w:color="auto"/>
            </w:tcBorders>
            <w:vAlign w:val="bottom"/>
          </w:tcPr>
          <w:p w:rsidR="00D92F66" w:rsidRPr="00AF7D06" w:rsidRDefault="00D92F66">
            <w:pPr>
              <w:spacing w:before="240"/>
              <w:rPr>
                <w:rFonts w:eastAsia="標楷體"/>
                <w:spacing w:val="20"/>
                <w:sz w:val="32"/>
                <w:szCs w:val="32"/>
              </w:rPr>
            </w:pPr>
          </w:p>
        </w:tc>
        <w:tc>
          <w:tcPr>
            <w:tcW w:w="1300" w:type="dxa"/>
            <w:vAlign w:val="bottom"/>
          </w:tcPr>
          <w:p w:rsidR="00D92F66" w:rsidRPr="00AF7D06" w:rsidRDefault="00E1132D">
            <w:pPr>
              <w:spacing w:before="240"/>
              <w:jc w:val="right"/>
              <w:rPr>
                <w:rFonts w:eastAsia="標楷體"/>
                <w:spacing w:val="20"/>
                <w:sz w:val="32"/>
                <w:szCs w:val="32"/>
              </w:rPr>
            </w:pPr>
            <w:r w:rsidRPr="00AF7D06">
              <w:rPr>
                <w:rFonts w:eastAsia="標楷體"/>
                <w:spacing w:val="20"/>
                <w:sz w:val="32"/>
                <w:szCs w:val="32"/>
              </w:rPr>
              <w:t>職位：</w:t>
            </w:r>
          </w:p>
        </w:tc>
        <w:tc>
          <w:tcPr>
            <w:tcW w:w="3120" w:type="dxa"/>
            <w:gridSpan w:val="2"/>
            <w:tcBorders>
              <w:bottom w:val="single" w:sz="4" w:space="0" w:color="auto"/>
            </w:tcBorders>
            <w:vAlign w:val="bottom"/>
          </w:tcPr>
          <w:p w:rsidR="00D92F66" w:rsidRPr="00AF7D06" w:rsidRDefault="00D92F66">
            <w:pPr>
              <w:spacing w:before="240"/>
              <w:rPr>
                <w:rFonts w:eastAsia="標楷體"/>
                <w:spacing w:val="20"/>
                <w:sz w:val="32"/>
                <w:szCs w:val="32"/>
              </w:rPr>
            </w:pPr>
          </w:p>
        </w:tc>
      </w:tr>
      <w:tr w:rsidR="00D92F66" w:rsidRPr="00AF7D06">
        <w:trPr>
          <w:gridBefore w:val="1"/>
          <w:wBefore w:w="380" w:type="dxa"/>
          <w:cantSplit/>
        </w:trPr>
        <w:tc>
          <w:tcPr>
            <w:tcW w:w="1463" w:type="dxa"/>
            <w:vAlign w:val="bottom"/>
          </w:tcPr>
          <w:p w:rsidR="00D92F66" w:rsidRPr="00AF7D06" w:rsidRDefault="00E1132D">
            <w:pPr>
              <w:spacing w:before="240"/>
              <w:rPr>
                <w:rFonts w:eastAsia="標楷體"/>
                <w:spacing w:val="20"/>
                <w:sz w:val="32"/>
                <w:szCs w:val="32"/>
              </w:rPr>
            </w:pPr>
            <w:r w:rsidRPr="00AF7D06">
              <w:rPr>
                <w:rFonts w:eastAsia="標楷體"/>
                <w:spacing w:val="20"/>
                <w:sz w:val="32"/>
                <w:szCs w:val="32"/>
              </w:rPr>
              <w:t>姓名：</w:t>
            </w:r>
          </w:p>
        </w:tc>
        <w:tc>
          <w:tcPr>
            <w:tcW w:w="2835" w:type="dxa"/>
            <w:gridSpan w:val="2"/>
            <w:tcBorders>
              <w:bottom w:val="single" w:sz="4" w:space="0" w:color="auto"/>
            </w:tcBorders>
            <w:vAlign w:val="bottom"/>
          </w:tcPr>
          <w:p w:rsidR="00D92F66" w:rsidRPr="00AF7D06" w:rsidRDefault="00D92F66">
            <w:pPr>
              <w:spacing w:before="240"/>
              <w:rPr>
                <w:rFonts w:eastAsia="標楷體"/>
                <w:spacing w:val="20"/>
                <w:sz w:val="32"/>
                <w:szCs w:val="32"/>
              </w:rPr>
            </w:pPr>
          </w:p>
        </w:tc>
        <w:tc>
          <w:tcPr>
            <w:tcW w:w="1300" w:type="dxa"/>
            <w:vAlign w:val="bottom"/>
          </w:tcPr>
          <w:p w:rsidR="00D92F66" w:rsidRPr="00AF7D06" w:rsidRDefault="00E1132D">
            <w:pPr>
              <w:spacing w:before="240"/>
              <w:jc w:val="right"/>
              <w:rPr>
                <w:rFonts w:eastAsia="標楷體"/>
                <w:spacing w:val="20"/>
                <w:sz w:val="32"/>
                <w:szCs w:val="32"/>
              </w:rPr>
            </w:pPr>
            <w:r w:rsidRPr="00AF7D06">
              <w:rPr>
                <w:rFonts w:eastAsia="標楷體"/>
                <w:spacing w:val="20"/>
                <w:sz w:val="32"/>
                <w:szCs w:val="32"/>
              </w:rPr>
              <w:t>職位：</w:t>
            </w:r>
          </w:p>
        </w:tc>
        <w:tc>
          <w:tcPr>
            <w:tcW w:w="3120" w:type="dxa"/>
            <w:gridSpan w:val="2"/>
            <w:tcBorders>
              <w:bottom w:val="single" w:sz="4" w:space="0" w:color="auto"/>
            </w:tcBorders>
            <w:vAlign w:val="bottom"/>
          </w:tcPr>
          <w:p w:rsidR="00D92F66" w:rsidRPr="00AF7D06" w:rsidRDefault="00D92F66">
            <w:pPr>
              <w:spacing w:before="240"/>
              <w:rPr>
                <w:rFonts w:eastAsia="標楷體"/>
                <w:spacing w:val="20"/>
                <w:sz w:val="32"/>
                <w:szCs w:val="32"/>
              </w:rPr>
            </w:pPr>
          </w:p>
        </w:tc>
      </w:tr>
    </w:tbl>
    <w:p w:rsidR="00D92F66" w:rsidRPr="00AF7D06" w:rsidRDefault="00D92F66">
      <w:pPr>
        <w:jc w:val="both"/>
        <w:rPr>
          <w:rFonts w:eastAsia="標楷體"/>
          <w:spacing w:val="20"/>
          <w:sz w:val="32"/>
          <w:szCs w:val="32"/>
          <w:lang w:eastAsia="zh-CN"/>
        </w:rPr>
      </w:pPr>
    </w:p>
    <w:tbl>
      <w:tblPr>
        <w:tblW w:w="9797" w:type="dxa"/>
        <w:tblInd w:w="108" w:type="dxa"/>
        <w:tblLayout w:type="fixed"/>
        <w:tblLook w:val="04A0" w:firstRow="1" w:lastRow="0" w:firstColumn="1" w:lastColumn="0" w:noHBand="0" w:noVBand="1"/>
      </w:tblPr>
      <w:tblGrid>
        <w:gridCol w:w="2127"/>
        <w:gridCol w:w="3250"/>
        <w:gridCol w:w="1300"/>
        <w:gridCol w:w="3120"/>
      </w:tblGrid>
      <w:tr w:rsidR="00D92F66" w:rsidRPr="00AF7D06">
        <w:trPr>
          <w:cantSplit/>
        </w:trPr>
        <w:tc>
          <w:tcPr>
            <w:tcW w:w="2127" w:type="dxa"/>
            <w:vAlign w:val="bottom"/>
          </w:tcPr>
          <w:p w:rsidR="00D92F66" w:rsidRPr="00AF7D06" w:rsidRDefault="00D92F66">
            <w:pPr>
              <w:spacing w:before="240"/>
              <w:rPr>
                <w:rFonts w:eastAsia="標楷體"/>
                <w:spacing w:val="20"/>
                <w:sz w:val="32"/>
                <w:szCs w:val="32"/>
                <w:lang w:eastAsia="zh-CN"/>
              </w:rPr>
            </w:pPr>
          </w:p>
          <w:p w:rsidR="00D92F66" w:rsidRPr="00AF7D06" w:rsidRDefault="00D92F66">
            <w:pPr>
              <w:spacing w:before="240"/>
              <w:rPr>
                <w:rFonts w:eastAsia="標楷體"/>
                <w:spacing w:val="20"/>
                <w:sz w:val="32"/>
                <w:szCs w:val="32"/>
                <w:lang w:eastAsia="zh-CN"/>
              </w:rPr>
            </w:pPr>
          </w:p>
          <w:p w:rsidR="00D92F66" w:rsidRPr="00AF7D06" w:rsidRDefault="00E1132D">
            <w:pPr>
              <w:spacing w:before="240"/>
              <w:rPr>
                <w:rFonts w:eastAsia="標楷體"/>
                <w:spacing w:val="20"/>
                <w:sz w:val="32"/>
                <w:szCs w:val="32"/>
              </w:rPr>
            </w:pPr>
            <w:r w:rsidRPr="00AF7D06">
              <w:rPr>
                <w:rFonts w:eastAsia="標楷體"/>
                <w:spacing w:val="20"/>
                <w:sz w:val="32"/>
                <w:szCs w:val="32"/>
              </w:rPr>
              <w:t>商會</w:t>
            </w:r>
            <w:r w:rsidRPr="00AF7D06">
              <w:rPr>
                <w:rFonts w:eastAsia="標楷體"/>
                <w:spacing w:val="20"/>
                <w:sz w:val="32"/>
                <w:szCs w:val="32"/>
                <w:lang w:eastAsia="zh-CN"/>
              </w:rPr>
              <w:t>/</w:t>
            </w:r>
            <w:r w:rsidRPr="00AF7D06">
              <w:rPr>
                <w:rFonts w:eastAsia="標楷體"/>
                <w:spacing w:val="20"/>
                <w:sz w:val="32"/>
                <w:szCs w:val="32"/>
                <w:lang w:eastAsia="zh-CN"/>
              </w:rPr>
              <w:t>公司</w:t>
            </w:r>
            <w:r w:rsidRPr="00AF7D06">
              <w:rPr>
                <w:rFonts w:eastAsia="標楷體"/>
                <w:spacing w:val="20"/>
                <w:sz w:val="32"/>
                <w:szCs w:val="32"/>
              </w:rPr>
              <w:t>：</w:t>
            </w:r>
          </w:p>
        </w:tc>
        <w:tc>
          <w:tcPr>
            <w:tcW w:w="7670" w:type="dxa"/>
            <w:gridSpan w:val="3"/>
            <w:tcBorders>
              <w:bottom w:val="single" w:sz="4" w:space="0" w:color="auto"/>
            </w:tcBorders>
            <w:vAlign w:val="bottom"/>
          </w:tcPr>
          <w:p w:rsidR="00D92F66" w:rsidRPr="00AF7D06" w:rsidRDefault="00D92F66">
            <w:pPr>
              <w:spacing w:before="240"/>
              <w:rPr>
                <w:rFonts w:eastAsia="標楷體"/>
                <w:spacing w:val="20"/>
                <w:sz w:val="32"/>
                <w:szCs w:val="32"/>
              </w:rPr>
            </w:pPr>
          </w:p>
        </w:tc>
      </w:tr>
      <w:tr w:rsidR="00D92F66" w:rsidRPr="00AF7D06">
        <w:trPr>
          <w:cantSplit/>
        </w:trPr>
        <w:tc>
          <w:tcPr>
            <w:tcW w:w="2127" w:type="dxa"/>
            <w:vAlign w:val="bottom"/>
          </w:tcPr>
          <w:p w:rsidR="00D92F66" w:rsidRPr="00AF7D06" w:rsidRDefault="00E1132D">
            <w:pPr>
              <w:spacing w:before="240"/>
              <w:rPr>
                <w:rFonts w:eastAsia="標楷體"/>
                <w:spacing w:val="20"/>
                <w:sz w:val="32"/>
                <w:szCs w:val="32"/>
              </w:rPr>
            </w:pPr>
            <w:r w:rsidRPr="00AF7D06">
              <w:rPr>
                <w:rFonts w:eastAsia="標楷體"/>
                <w:spacing w:val="20"/>
                <w:sz w:val="32"/>
                <w:szCs w:val="32"/>
              </w:rPr>
              <w:t>聯繫人：</w:t>
            </w:r>
          </w:p>
        </w:tc>
        <w:tc>
          <w:tcPr>
            <w:tcW w:w="3250" w:type="dxa"/>
            <w:tcBorders>
              <w:top w:val="single" w:sz="4" w:space="0" w:color="auto"/>
              <w:bottom w:val="single" w:sz="4" w:space="0" w:color="auto"/>
            </w:tcBorders>
            <w:vAlign w:val="bottom"/>
          </w:tcPr>
          <w:p w:rsidR="00D92F66" w:rsidRPr="00AF7D06" w:rsidRDefault="00D92F66">
            <w:pPr>
              <w:spacing w:before="240"/>
              <w:rPr>
                <w:rFonts w:eastAsia="標楷體"/>
                <w:spacing w:val="20"/>
                <w:sz w:val="32"/>
                <w:szCs w:val="32"/>
              </w:rPr>
            </w:pPr>
          </w:p>
        </w:tc>
        <w:tc>
          <w:tcPr>
            <w:tcW w:w="1300" w:type="dxa"/>
            <w:vAlign w:val="bottom"/>
          </w:tcPr>
          <w:p w:rsidR="00D92F66" w:rsidRPr="00AF7D06" w:rsidRDefault="00E1132D">
            <w:pPr>
              <w:spacing w:before="240"/>
              <w:jc w:val="right"/>
              <w:rPr>
                <w:rFonts w:eastAsia="標楷體"/>
                <w:spacing w:val="20"/>
                <w:sz w:val="32"/>
                <w:szCs w:val="32"/>
              </w:rPr>
            </w:pPr>
            <w:r w:rsidRPr="00AF7D06">
              <w:rPr>
                <w:rFonts w:eastAsia="標楷體"/>
                <w:spacing w:val="20"/>
                <w:sz w:val="32"/>
                <w:szCs w:val="32"/>
              </w:rPr>
              <w:t>電話：</w:t>
            </w:r>
          </w:p>
        </w:tc>
        <w:tc>
          <w:tcPr>
            <w:tcW w:w="3120" w:type="dxa"/>
            <w:tcBorders>
              <w:top w:val="single" w:sz="4" w:space="0" w:color="auto"/>
              <w:bottom w:val="single" w:sz="4" w:space="0" w:color="auto"/>
            </w:tcBorders>
            <w:vAlign w:val="bottom"/>
          </w:tcPr>
          <w:p w:rsidR="00D92F66" w:rsidRPr="00AF7D06" w:rsidRDefault="00D92F66">
            <w:pPr>
              <w:spacing w:before="240"/>
              <w:rPr>
                <w:rFonts w:eastAsia="標楷體"/>
                <w:spacing w:val="20"/>
                <w:sz w:val="32"/>
                <w:szCs w:val="32"/>
              </w:rPr>
            </w:pPr>
          </w:p>
        </w:tc>
      </w:tr>
      <w:tr w:rsidR="00D92F66" w:rsidRPr="00AF7D06">
        <w:trPr>
          <w:cantSplit/>
        </w:trPr>
        <w:tc>
          <w:tcPr>
            <w:tcW w:w="2127" w:type="dxa"/>
            <w:vAlign w:val="bottom"/>
          </w:tcPr>
          <w:p w:rsidR="00D92F66" w:rsidRPr="00AF7D06" w:rsidRDefault="00E1132D">
            <w:pPr>
              <w:spacing w:before="240"/>
              <w:rPr>
                <w:rFonts w:eastAsia="標楷體"/>
                <w:spacing w:val="20"/>
                <w:sz w:val="32"/>
                <w:szCs w:val="32"/>
              </w:rPr>
            </w:pPr>
            <w:r w:rsidRPr="00AF7D06">
              <w:rPr>
                <w:rFonts w:eastAsia="標楷體"/>
                <w:spacing w:val="20"/>
                <w:sz w:val="32"/>
                <w:szCs w:val="32"/>
              </w:rPr>
              <w:t>傳真：</w:t>
            </w:r>
          </w:p>
        </w:tc>
        <w:tc>
          <w:tcPr>
            <w:tcW w:w="3250" w:type="dxa"/>
            <w:tcBorders>
              <w:top w:val="single" w:sz="4" w:space="0" w:color="auto"/>
              <w:bottom w:val="single" w:sz="4" w:space="0" w:color="auto"/>
            </w:tcBorders>
            <w:vAlign w:val="bottom"/>
          </w:tcPr>
          <w:p w:rsidR="00D92F66" w:rsidRPr="00AF7D06" w:rsidRDefault="00D92F66">
            <w:pPr>
              <w:spacing w:before="240"/>
              <w:rPr>
                <w:rFonts w:eastAsia="標楷體"/>
                <w:spacing w:val="20"/>
                <w:sz w:val="32"/>
                <w:szCs w:val="32"/>
              </w:rPr>
            </w:pPr>
          </w:p>
        </w:tc>
        <w:tc>
          <w:tcPr>
            <w:tcW w:w="1300" w:type="dxa"/>
            <w:vAlign w:val="bottom"/>
          </w:tcPr>
          <w:p w:rsidR="00D92F66" w:rsidRPr="00AF7D06" w:rsidRDefault="00E1132D">
            <w:pPr>
              <w:spacing w:before="240"/>
              <w:jc w:val="right"/>
              <w:rPr>
                <w:rFonts w:eastAsia="標楷體"/>
                <w:spacing w:val="20"/>
                <w:sz w:val="32"/>
                <w:szCs w:val="32"/>
              </w:rPr>
            </w:pPr>
            <w:r w:rsidRPr="00AF7D06">
              <w:rPr>
                <w:rFonts w:eastAsia="標楷體"/>
                <w:spacing w:val="20"/>
                <w:sz w:val="32"/>
                <w:szCs w:val="32"/>
              </w:rPr>
              <w:t>電郵：</w:t>
            </w:r>
          </w:p>
        </w:tc>
        <w:tc>
          <w:tcPr>
            <w:tcW w:w="3120" w:type="dxa"/>
            <w:tcBorders>
              <w:top w:val="single" w:sz="4" w:space="0" w:color="auto"/>
              <w:bottom w:val="single" w:sz="4" w:space="0" w:color="auto"/>
            </w:tcBorders>
            <w:vAlign w:val="bottom"/>
          </w:tcPr>
          <w:p w:rsidR="00D92F66" w:rsidRPr="00AF7D06" w:rsidRDefault="00D92F66">
            <w:pPr>
              <w:spacing w:before="240"/>
              <w:rPr>
                <w:rFonts w:eastAsia="標楷體"/>
                <w:spacing w:val="20"/>
                <w:sz w:val="32"/>
                <w:szCs w:val="32"/>
              </w:rPr>
            </w:pPr>
          </w:p>
        </w:tc>
      </w:tr>
      <w:tr w:rsidR="00D92F66" w:rsidRPr="00AF7D06">
        <w:trPr>
          <w:cantSplit/>
        </w:trPr>
        <w:tc>
          <w:tcPr>
            <w:tcW w:w="2127" w:type="dxa"/>
            <w:vAlign w:val="bottom"/>
          </w:tcPr>
          <w:p w:rsidR="00D92F66" w:rsidRPr="00AF7D06" w:rsidRDefault="00E1132D">
            <w:pPr>
              <w:spacing w:before="240"/>
              <w:rPr>
                <w:rFonts w:eastAsia="標楷體"/>
                <w:spacing w:val="20"/>
                <w:sz w:val="32"/>
                <w:szCs w:val="32"/>
              </w:rPr>
            </w:pPr>
            <w:r w:rsidRPr="00AF7D06">
              <w:rPr>
                <w:rFonts w:eastAsia="標楷體"/>
                <w:spacing w:val="20"/>
                <w:sz w:val="32"/>
                <w:szCs w:val="32"/>
              </w:rPr>
              <w:t>地址：</w:t>
            </w:r>
          </w:p>
        </w:tc>
        <w:tc>
          <w:tcPr>
            <w:tcW w:w="7670" w:type="dxa"/>
            <w:gridSpan w:val="3"/>
            <w:tcBorders>
              <w:bottom w:val="single" w:sz="4" w:space="0" w:color="auto"/>
            </w:tcBorders>
            <w:vAlign w:val="bottom"/>
          </w:tcPr>
          <w:p w:rsidR="00D92F66" w:rsidRPr="00AF7D06" w:rsidRDefault="00D92F66">
            <w:pPr>
              <w:spacing w:before="240"/>
              <w:rPr>
                <w:rFonts w:eastAsia="標楷體"/>
                <w:spacing w:val="20"/>
                <w:sz w:val="32"/>
                <w:szCs w:val="32"/>
              </w:rPr>
            </w:pPr>
          </w:p>
        </w:tc>
      </w:tr>
    </w:tbl>
    <w:p w:rsidR="00D92F66" w:rsidRPr="00AF7D06" w:rsidRDefault="00D92F66">
      <w:pPr>
        <w:jc w:val="both"/>
        <w:rPr>
          <w:rFonts w:eastAsia="標楷體"/>
          <w:spacing w:val="20"/>
          <w:sz w:val="32"/>
          <w:szCs w:val="32"/>
          <w:lang w:eastAsia="zh-CN"/>
        </w:rPr>
      </w:pPr>
    </w:p>
    <w:p w:rsidR="00D92F66" w:rsidRPr="00AF7D06" w:rsidRDefault="00D92F66">
      <w:pPr>
        <w:jc w:val="both"/>
        <w:rPr>
          <w:rFonts w:eastAsia="標楷體"/>
          <w:spacing w:val="20"/>
          <w:sz w:val="32"/>
          <w:szCs w:val="32"/>
          <w:lang w:eastAsia="zh-CN"/>
        </w:rPr>
      </w:pPr>
    </w:p>
    <w:p w:rsidR="00D92F66" w:rsidRPr="00AF7D06" w:rsidRDefault="00D92F66">
      <w:pPr>
        <w:jc w:val="both"/>
        <w:rPr>
          <w:rFonts w:eastAsia="標楷體"/>
          <w:spacing w:val="20"/>
          <w:sz w:val="32"/>
          <w:szCs w:val="32"/>
          <w:lang w:eastAsia="zh-CN"/>
        </w:rPr>
      </w:pPr>
    </w:p>
    <w:p w:rsidR="00D92F66" w:rsidRPr="00AF7D06" w:rsidRDefault="00D92F66">
      <w:pPr>
        <w:jc w:val="both"/>
        <w:rPr>
          <w:rFonts w:eastAsia="標楷體"/>
          <w:spacing w:val="20"/>
          <w:sz w:val="32"/>
          <w:szCs w:val="32"/>
          <w:lang w:eastAsia="zh-CN"/>
        </w:rPr>
      </w:pPr>
    </w:p>
    <w:p w:rsidR="00D92F66" w:rsidRPr="00AF7D06" w:rsidRDefault="00E1132D">
      <w:pPr>
        <w:jc w:val="both"/>
        <w:rPr>
          <w:rFonts w:eastAsia="標楷體"/>
          <w:spacing w:val="20"/>
          <w:sz w:val="32"/>
          <w:szCs w:val="32"/>
        </w:rPr>
      </w:pPr>
      <w:r w:rsidRPr="00AF7D06">
        <w:rPr>
          <w:rFonts w:eastAsia="標楷體"/>
          <w:spacing w:val="20"/>
          <w:sz w:val="32"/>
          <w:szCs w:val="32"/>
        </w:rPr>
        <w:t>【註</w:t>
      </w:r>
      <w:r w:rsidRPr="00AF7D06">
        <w:rPr>
          <w:rFonts w:eastAsia="標楷體"/>
          <w:spacing w:val="20"/>
          <w:sz w:val="32"/>
          <w:szCs w:val="32"/>
        </w:rPr>
        <w:t>:</w:t>
      </w:r>
      <w:r w:rsidRPr="00AF7D06">
        <w:rPr>
          <w:rFonts w:eastAsia="標楷體"/>
          <w:sz w:val="32"/>
          <w:szCs w:val="32"/>
        </w:rPr>
        <w:t>參加者請攜帶公司名片準時出席，駐粵辦將不再發出確認函</w:t>
      </w:r>
      <w:r w:rsidRPr="00AF7D06">
        <w:rPr>
          <w:rFonts w:eastAsia="標楷體"/>
          <w:spacing w:val="20"/>
          <w:sz w:val="32"/>
          <w:szCs w:val="32"/>
        </w:rPr>
        <w:t>】</w:t>
      </w:r>
    </w:p>
    <w:p w:rsidR="00D92F66" w:rsidRPr="00AF7D06" w:rsidRDefault="00D92F66">
      <w:pPr>
        <w:jc w:val="both"/>
        <w:rPr>
          <w:rFonts w:eastAsia="標楷體"/>
          <w:spacing w:val="20"/>
          <w:sz w:val="32"/>
          <w:szCs w:val="32"/>
        </w:rPr>
      </w:pPr>
    </w:p>
    <w:p w:rsidR="00D92F66" w:rsidRPr="00AF7D06" w:rsidRDefault="00D92F66">
      <w:pPr>
        <w:jc w:val="both"/>
        <w:rPr>
          <w:rFonts w:eastAsia="標楷體"/>
          <w:spacing w:val="20"/>
          <w:sz w:val="32"/>
          <w:szCs w:val="32"/>
        </w:rPr>
      </w:pPr>
    </w:p>
    <w:sectPr w:rsidR="00D92F66" w:rsidRPr="00AF7D06">
      <w:headerReference w:type="first" r:id="rId9"/>
      <w:pgSz w:w="11909" w:h="16834"/>
      <w:pgMar w:top="567"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93" w:rsidRDefault="003D7A93">
      <w:r>
        <w:separator/>
      </w:r>
    </w:p>
  </w:endnote>
  <w:endnote w:type="continuationSeparator" w:id="0">
    <w:p w:rsidR="003D7A93" w:rsidRDefault="003D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93" w:rsidRDefault="003D7A93">
      <w:r>
        <w:separator/>
      </w:r>
    </w:p>
  </w:footnote>
  <w:footnote w:type="continuationSeparator" w:id="0">
    <w:p w:rsidR="003D7A93" w:rsidRDefault="003D7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66" w:rsidRDefault="00E1132D">
    <w:pPr>
      <w:spacing w:line="360" w:lineRule="auto"/>
      <w:jc w:val="center"/>
      <w:rPr>
        <w:rFonts w:eastAsia="SimSun"/>
        <w:lang w:eastAsia="zh-C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2057400" cy="638175"/>
              <wp:effectExtent l="0" t="0" r="444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38175"/>
                      </a:xfrm>
                      <a:prstGeom prst="rect">
                        <a:avLst/>
                      </a:prstGeom>
                      <a:noFill/>
                      <a:ln>
                        <a:noFill/>
                      </a:ln>
                    </wps:spPr>
                    <wps:txbx>
                      <w:txbxContent>
                        <w:p w:rsidR="00D92F66" w:rsidRDefault="00E1132D">
                          <w:pPr>
                            <w:spacing w:before="120" w:line="264" w:lineRule="auto"/>
                            <w:jc w:val="center"/>
                            <w:rPr>
                              <w:b/>
                              <w:bCs/>
                              <w:spacing w:val="50"/>
                              <w:sz w:val="24"/>
                            </w:rPr>
                          </w:pPr>
                          <w:r>
                            <w:rPr>
                              <w:rFonts w:hint="eastAsia"/>
                              <w:b/>
                              <w:bCs/>
                              <w:spacing w:val="50"/>
                              <w:sz w:val="24"/>
                            </w:rPr>
                            <w:t>香港特別行政區政府</w:t>
                          </w:r>
                        </w:p>
                        <w:p w:rsidR="00D92F66" w:rsidRDefault="00E1132D">
                          <w:pPr>
                            <w:spacing w:line="360" w:lineRule="auto"/>
                            <w:jc w:val="center"/>
                            <w:rPr>
                              <w:rFonts w:eastAsia="SimSun"/>
                              <w:spacing w:val="50"/>
                              <w:sz w:val="24"/>
                            </w:rPr>
                          </w:pPr>
                          <w:r>
                            <w:rPr>
                              <w:rFonts w:hint="eastAsia"/>
                              <w:b/>
                              <w:bCs/>
                              <w:spacing w:val="50"/>
                              <w:sz w:val="24"/>
                            </w:rPr>
                            <w:t>駐粤經濟貿易辦事處</w:t>
                          </w:r>
                        </w:p>
                      </w:txbxContent>
                    </wps:txbx>
                    <wps:bodyPr rot="0" vert="horz" wrap="square" lIns="91440" tIns="45720" rIns="91440" bIns="45720" anchor="t" anchorCtr="0" upright="1">
                      <a:noAutofit/>
                    </wps:bodyPr>
                  </wps:wsp>
                </a:graphicData>
              </a:graphic>
            </wp:anchor>
          </w:drawing>
        </mc:Choice>
        <mc:Fallback>
          <w:pict>
            <v:rect id="Text Box 1" o:spid="_x0000_s1027" style="position:absolute;left:0;text-align:left;margin-left:0;margin-top:9pt;width:162pt;height:5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" filled="f" stroked="f">
              <v:textbox>
                <w:txbxContent>
                  <w:p w:rsidR="00D92F66" w:rsidRDefault="00E1132D">
                    <w:pPr>
                      <w:spacing w:before="120" w:line="264" w:lineRule="auto"/>
                      <w:jc w:val="center"/>
                      <w:rPr>
                        <w:b/>
                        <w:bCs/>
                        <w:spacing w:val="50"/>
                        <w:sz w:val="24"/>
                      </w:rPr>
                    </w:pPr>
                    <w:r>
                      <w:rPr>
                        <w:rFonts w:hint="eastAsia"/>
                        <w:b/>
                        <w:bCs/>
                        <w:spacing w:val="50"/>
                        <w:sz w:val="24"/>
                      </w:rPr>
                      <w:t>香港特別行政區政府</w:t>
                    </w:r>
                  </w:p>
                  <w:p w:rsidR="00D92F66" w:rsidRDefault="00E1132D">
                    <w:pPr>
                      <w:spacing w:line="360" w:lineRule="auto"/>
                      <w:jc w:val="center"/>
                      <w:rPr>
                        <w:rFonts w:eastAsia="SimSun"/>
                        <w:spacing w:val="50"/>
                        <w:sz w:val="24"/>
                      </w:rPr>
                    </w:pPr>
                    <w:r>
                      <w:rPr>
                        <w:rFonts w:hint="eastAsia"/>
                        <w:b/>
                        <w:bCs/>
                        <w:spacing w:val="50"/>
                        <w:sz w:val="24"/>
                      </w:rPr>
                      <w:t>駐粤經濟貿易辦事處</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3810000</wp:posOffset>
              </wp:positionH>
              <wp:positionV relativeFrom="paragraph">
                <wp:posOffset>114300</wp:posOffset>
              </wp:positionV>
              <wp:extent cx="2286000" cy="68580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85800"/>
                      </a:xfrm>
                      <a:prstGeom prst="rect">
                        <a:avLst/>
                      </a:prstGeom>
                      <a:noFill/>
                      <a:ln>
                        <a:noFill/>
                      </a:ln>
                    </wps:spPr>
                    <wps:txbx>
                      <w:txbxContent>
                        <w:p w:rsidR="00D92F66" w:rsidRDefault="00E1132D">
                          <w:pPr>
                            <w:pStyle w:val="a4"/>
                            <w:spacing w:line="240" w:lineRule="auto"/>
                            <w:jc w:val="center"/>
                          </w:pPr>
                          <w:r>
                            <w:rPr>
                              <w:rFonts w:hint="eastAsia"/>
                            </w:rPr>
                            <w:t>Hong Kong Economic &amp; Trade Office in Guangdong</w:t>
                          </w:r>
                        </w:p>
                        <w:p w:rsidR="00D92F66" w:rsidRDefault="00E1132D">
                          <w:pPr>
                            <w:pStyle w:val="a4"/>
                            <w:spacing w:line="240" w:lineRule="auto"/>
                            <w:jc w:val="center"/>
                          </w:pPr>
                          <w:r>
                            <w:rPr>
                              <w:rFonts w:hint="eastAsia"/>
                            </w:rPr>
                            <w:t xml:space="preserve">Government of the Hong Kong </w:t>
                          </w:r>
                        </w:p>
                        <w:p w:rsidR="00D92F66" w:rsidRDefault="00E1132D">
                          <w:pPr>
                            <w:pStyle w:val="a4"/>
                            <w:spacing w:line="240" w:lineRule="auto"/>
                            <w:jc w:val="center"/>
                          </w:pPr>
                          <w:r>
                            <w:rPr>
                              <w:rFonts w:hint="eastAsia"/>
                            </w:rPr>
                            <w:t>Special Administrative Region</w:t>
                          </w:r>
                        </w:p>
                      </w:txbxContent>
                    </wps:txbx>
                    <wps:bodyPr rot="0" vert="horz" wrap="square" lIns="91440" tIns="45720" rIns="91440" bIns="45720" anchor="t" anchorCtr="0" upright="1">
                      <a:noAutofit/>
                    </wps:bodyPr>
                  </wps:wsp>
                </a:graphicData>
              </a:graphic>
            </wp:anchor>
          </w:drawing>
        </mc:Choice>
        <mc:Fallback>
          <w:pict>
            <v:rect id="Text Box 2" o:spid="_x0000_s1028" style="position:absolute;left:0;text-align:left;margin-left:300pt;margin-top:9pt;width:180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" filled="f" stroked="f">
              <v:textbox>
                <w:txbxContent>
                  <w:p w:rsidR="00D92F66" w:rsidRDefault="00E1132D">
                    <w:pPr>
                      <w:pStyle w:val="a4"/>
                      <w:spacing w:line="240" w:lineRule="auto"/>
                      <w:jc w:val="center"/>
                    </w:pPr>
                    <w:r>
                      <w:rPr>
                        <w:rFonts w:hint="eastAsia"/>
                      </w:rPr>
                      <w:t>Hong Kong Economic &amp; Trade Office in Guangdong</w:t>
                    </w:r>
                  </w:p>
                  <w:p w:rsidR="00D92F66" w:rsidRDefault="00E1132D">
                    <w:pPr>
                      <w:pStyle w:val="a4"/>
                      <w:spacing w:line="240" w:lineRule="auto"/>
                      <w:jc w:val="center"/>
                    </w:pPr>
                    <w:r>
                      <w:rPr>
                        <w:rFonts w:hint="eastAsia"/>
                      </w:rPr>
                      <w:t xml:space="preserve">Government of the Hong Kong </w:t>
                    </w:r>
                  </w:p>
                  <w:p w:rsidR="00D92F66" w:rsidRDefault="00E1132D">
                    <w:pPr>
                      <w:pStyle w:val="a4"/>
                      <w:spacing w:line="240" w:lineRule="auto"/>
                      <w:jc w:val="center"/>
                    </w:pPr>
                    <w:r>
                      <w:rPr>
                        <w:rFonts w:hint="eastAsia"/>
                      </w:rPr>
                      <w:t>Special Administrative Region</w:t>
                    </w:r>
                  </w:p>
                </w:txbxContent>
              </v:textbox>
            </v:rect>
          </w:pict>
        </mc:Fallback>
      </mc:AlternateContent>
    </w:r>
    <w:r>
      <w:rPr>
        <w:noProof/>
      </w:rPr>
      <w:drawing>
        <wp:inline distT="0" distB="0" distL="0" distR="0">
          <wp:extent cx="1028700" cy="1028700"/>
          <wp:effectExtent l="0" t="0" r="0" b="0"/>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287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5E7"/>
    <w:multiLevelType w:val="hybridMultilevel"/>
    <w:tmpl w:val="747C352E"/>
    <w:lvl w:ilvl="0" w:tplc="0409000B">
      <w:start w:val="1"/>
      <w:numFmt w:val="bullet"/>
      <w:lvlText w:val=""/>
      <w:lvlJc w:val="left"/>
      <w:pPr>
        <w:ind w:left="1102" w:hanging="480"/>
      </w:pPr>
      <w:rPr>
        <w:rFonts w:ascii="Wingdings" w:hAnsi="Wingdings" w:hint="default"/>
      </w:rPr>
    </w:lvl>
    <w:lvl w:ilvl="1" w:tplc="04090003" w:tentative="1">
      <w:start w:val="1"/>
      <w:numFmt w:val="bullet"/>
      <w:lvlText w:val=""/>
      <w:lvlJc w:val="left"/>
      <w:pPr>
        <w:ind w:left="1582" w:hanging="480"/>
      </w:pPr>
      <w:rPr>
        <w:rFonts w:ascii="Wingdings" w:hAnsi="Wingdings" w:hint="default"/>
      </w:rPr>
    </w:lvl>
    <w:lvl w:ilvl="2" w:tplc="04090005" w:tentative="1">
      <w:start w:val="1"/>
      <w:numFmt w:val="bullet"/>
      <w:lvlText w:val=""/>
      <w:lvlJc w:val="left"/>
      <w:pPr>
        <w:ind w:left="2062" w:hanging="480"/>
      </w:pPr>
      <w:rPr>
        <w:rFonts w:ascii="Wingdings" w:hAnsi="Wingdings" w:hint="default"/>
      </w:rPr>
    </w:lvl>
    <w:lvl w:ilvl="3" w:tplc="04090001" w:tentative="1">
      <w:start w:val="1"/>
      <w:numFmt w:val="bullet"/>
      <w:lvlText w:val=""/>
      <w:lvlJc w:val="left"/>
      <w:pPr>
        <w:ind w:left="2542" w:hanging="480"/>
      </w:pPr>
      <w:rPr>
        <w:rFonts w:ascii="Wingdings" w:hAnsi="Wingdings" w:hint="default"/>
      </w:rPr>
    </w:lvl>
    <w:lvl w:ilvl="4" w:tplc="04090003" w:tentative="1">
      <w:start w:val="1"/>
      <w:numFmt w:val="bullet"/>
      <w:lvlText w:val=""/>
      <w:lvlJc w:val="left"/>
      <w:pPr>
        <w:ind w:left="3022" w:hanging="480"/>
      </w:pPr>
      <w:rPr>
        <w:rFonts w:ascii="Wingdings" w:hAnsi="Wingdings" w:hint="default"/>
      </w:rPr>
    </w:lvl>
    <w:lvl w:ilvl="5" w:tplc="04090005" w:tentative="1">
      <w:start w:val="1"/>
      <w:numFmt w:val="bullet"/>
      <w:lvlText w:val=""/>
      <w:lvlJc w:val="left"/>
      <w:pPr>
        <w:ind w:left="3502" w:hanging="480"/>
      </w:pPr>
      <w:rPr>
        <w:rFonts w:ascii="Wingdings" w:hAnsi="Wingdings" w:hint="default"/>
      </w:rPr>
    </w:lvl>
    <w:lvl w:ilvl="6" w:tplc="04090001" w:tentative="1">
      <w:start w:val="1"/>
      <w:numFmt w:val="bullet"/>
      <w:lvlText w:val=""/>
      <w:lvlJc w:val="left"/>
      <w:pPr>
        <w:ind w:left="3982" w:hanging="480"/>
      </w:pPr>
      <w:rPr>
        <w:rFonts w:ascii="Wingdings" w:hAnsi="Wingdings" w:hint="default"/>
      </w:rPr>
    </w:lvl>
    <w:lvl w:ilvl="7" w:tplc="04090003" w:tentative="1">
      <w:start w:val="1"/>
      <w:numFmt w:val="bullet"/>
      <w:lvlText w:val=""/>
      <w:lvlJc w:val="left"/>
      <w:pPr>
        <w:ind w:left="4462" w:hanging="480"/>
      </w:pPr>
      <w:rPr>
        <w:rFonts w:ascii="Wingdings" w:hAnsi="Wingdings" w:hint="default"/>
      </w:rPr>
    </w:lvl>
    <w:lvl w:ilvl="8" w:tplc="04090005" w:tentative="1">
      <w:start w:val="1"/>
      <w:numFmt w:val="bullet"/>
      <w:lvlText w:val=""/>
      <w:lvlJc w:val="left"/>
      <w:pPr>
        <w:ind w:left="4942" w:hanging="480"/>
      </w:pPr>
      <w:rPr>
        <w:rFonts w:ascii="Wingdings" w:hAnsi="Wingdings" w:hint="default"/>
      </w:rPr>
    </w:lvl>
  </w:abstractNum>
  <w:abstractNum w:abstractNumId="1">
    <w:nsid w:val="584A1776"/>
    <w:multiLevelType w:val="multilevel"/>
    <w:tmpl w:val="584A1776"/>
    <w:lvl w:ilvl="0">
      <w:start w:val="1"/>
      <w:numFmt w:val="bullet"/>
      <w:lvlText w:val=""/>
      <w:lvlJc w:val="left"/>
      <w:pPr>
        <w:ind w:left="622" w:hanging="480"/>
      </w:pPr>
      <w:rPr>
        <w:rFonts w:ascii="Wingdings" w:hAnsi="Wingdings" w:hint="default"/>
      </w:rPr>
    </w:lvl>
    <w:lvl w:ilvl="1">
      <w:start w:val="1"/>
      <w:numFmt w:val="bullet"/>
      <w:lvlText w:val=""/>
      <w:lvlJc w:val="left"/>
      <w:pPr>
        <w:ind w:left="1102" w:hanging="480"/>
      </w:pPr>
      <w:rPr>
        <w:rFonts w:ascii="Wingdings" w:hAnsi="Wingdings" w:hint="default"/>
      </w:rPr>
    </w:lvl>
    <w:lvl w:ilvl="2">
      <w:start w:val="1"/>
      <w:numFmt w:val="bullet"/>
      <w:lvlText w:val=""/>
      <w:lvlJc w:val="left"/>
      <w:pPr>
        <w:ind w:left="1582" w:hanging="480"/>
      </w:pPr>
      <w:rPr>
        <w:rFonts w:ascii="Wingdings" w:hAnsi="Wingdings" w:hint="default"/>
      </w:rPr>
    </w:lvl>
    <w:lvl w:ilvl="3">
      <w:start w:val="1"/>
      <w:numFmt w:val="bullet"/>
      <w:lvlText w:val=""/>
      <w:lvlJc w:val="left"/>
      <w:pPr>
        <w:ind w:left="2062" w:hanging="480"/>
      </w:pPr>
      <w:rPr>
        <w:rFonts w:ascii="Wingdings" w:hAnsi="Wingdings" w:hint="default"/>
      </w:rPr>
    </w:lvl>
    <w:lvl w:ilvl="4">
      <w:start w:val="1"/>
      <w:numFmt w:val="bullet"/>
      <w:lvlText w:val=""/>
      <w:lvlJc w:val="left"/>
      <w:pPr>
        <w:ind w:left="2542" w:hanging="480"/>
      </w:pPr>
      <w:rPr>
        <w:rFonts w:ascii="Wingdings" w:hAnsi="Wingdings" w:hint="default"/>
      </w:rPr>
    </w:lvl>
    <w:lvl w:ilvl="5">
      <w:start w:val="1"/>
      <w:numFmt w:val="bullet"/>
      <w:lvlText w:val=""/>
      <w:lvlJc w:val="left"/>
      <w:pPr>
        <w:ind w:left="3022" w:hanging="480"/>
      </w:pPr>
      <w:rPr>
        <w:rFonts w:ascii="Wingdings" w:hAnsi="Wingdings" w:hint="default"/>
      </w:rPr>
    </w:lvl>
    <w:lvl w:ilvl="6">
      <w:start w:val="1"/>
      <w:numFmt w:val="bullet"/>
      <w:lvlText w:val=""/>
      <w:lvlJc w:val="left"/>
      <w:pPr>
        <w:ind w:left="3502" w:hanging="480"/>
      </w:pPr>
      <w:rPr>
        <w:rFonts w:ascii="Wingdings" w:hAnsi="Wingdings" w:hint="default"/>
      </w:rPr>
    </w:lvl>
    <w:lvl w:ilvl="7">
      <w:start w:val="1"/>
      <w:numFmt w:val="bullet"/>
      <w:lvlText w:val=""/>
      <w:lvlJc w:val="left"/>
      <w:pPr>
        <w:ind w:left="3982" w:hanging="480"/>
      </w:pPr>
      <w:rPr>
        <w:rFonts w:ascii="Wingdings" w:hAnsi="Wingdings" w:hint="default"/>
      </w:rPr>
    </w:lvl>
    <w:lvl w:ilvl="8">
      <w:start w:val="1"/>
      <w:numFmt w:val="bullet"/>
      <w:lvlText w:val=""/>
      <w:lvlJc w:val="left"/>
      <w:pPr>
        <w:ind w:left="4462"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20"/>
  <w:drawingGridVerticalSpacing w:val="0"/>
  <w:displayHorizontalDrawingGridEvery w:val="2"/>
  <w:displayVerticalDrawingGridEvery w:val="2"/>
  <w:noPunctuationKerning/>
  <w:characterSpacingControl w:val="doNotCompress"/>
  <w:hdrShapeDefaults>
    <o:shapedefaults v:ext="edit" spidmax="14337" strokecolor="#446188">
      <v:fill angle="90" type="gradient">
        <o:fill v:ext="view" type="gradientUnscaled"/>
      </v:fill>
      <v:stroke color="#446188" weight="2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66"/>
    <w:rsid w:val="000B04C3"/>
    <w:rsid w:val="002B6F97"/>
    <w:rsid w:val="002D766F"/>
    <w:rsid w:val="002F27A0"/>
    <w:rsid w:val="00325037"/>
    <w:rsid w:val="003730FD"/>
    <w:rsid w:val="003D7A93"/>
    <w:rsid w:val="004131AC"/>
    <w:rsid w:val="005A0E24"/>
    <w:rsid w:val="005A1183"/>
    <w:rsid w:val="005B3010"/>
    <w:rsid w:val="00671182"/>
    <w:rsid w:val="00674414"/>
    <w:rsid w:val="0067570F"/>
    <w:rsid w:val="006F1F48"/>
    <w:rsid w:val="00706B90"/>
    <w:rsid w:val="007D1D3F"/>
    <w:rsid w:val="007D4787"/>
    <w:rsid w:val="007D6F4E"/>
    <w:rsid w:val="008250D7"/>
    <w:rsid w:val="00953F2E"/>
    <w:rsid w:val="00965A5E"/>
    <w:rsid w:val="009D150F"/>
    <w:rsid w:val="009E744C"/>
    <w:rsid w:val="00A00E20"/>
    <w:rsid w:val="00AF7D06"/>
    <w:rsid w:val="00B20C50"/>
    <w:rsid w:val="00B7128A"/>
    <w:rsid w:val="00B9008A"/>
    <w:rsid w:val="00C3525F"/>
    <w:rsid w:val="00CA572F"/>
    <w:rsid w:val="00D77B98"/>
    <w:rsid w:val="00D92F66"/>
    <w:rsid w:val="00E1132D"/>
    <w:rsid w:val="00EB3DF7"/>
    <w:rsid w:val="00EF1A25"/>
    <w:rsid w:val="00F2526F"/>
    <w:rsid w:val="00F769BD"/>
    <w:rsid w:val="00FE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strokecolor="#446188">
      <v:fill angle="90" type="gradient">
        <o:fill v:ext="view" type="gradientUnscaled"/>
      </v:fill>
      <v:stroke color="#446188"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新細明體"/>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Arial" w:hAnsi="Arial"/>
      <w:sz w:val="16"/>
      <w:szCs w:val="16"/>
    </w:rPr>
  </w:style>
  <w:style w:type="paragraph" w:styleId="a4">
    <w:name w:val="Body Text"/>
    <w:basedOn w:val="a"/>
    <w:qFormat/>
    <w:pPr>
      <w:spacing w:line="360" w:lineRule="auto"/>
    </w:pPr>
    <w:rPr>
      <w:rFonts w:eastAsia="SimSun"/>
      <w:b/>
      <w:bCs/>
      <w:sz w:val="20"/>
      <w:lang w:eastAsia="zh-CN"/>
    </w:rPr>
  </w:style>
  <w:style w:type="paragraph" w:styleId="a5">
    <w:name w:val="footer"/>
    <w:basedOn w:val="a"/>
    <w:qFormat/>
    <w:pPr>
      <w:tabs>
        <w:tab w:val="center" w:pos="4153"/>
        <w:tab w:val="right" w:pos="8306"/>
      </w:tabs>
    </w:pPr>
  </w:style>
  <w:style w:type="paragraph" w:styleId="a6">
    <w:name w:val="footnote text"/>
    <w:basedOn w:val="a"/>
    <w:qFormat/>
    <w:rPr>
      <w:sz w:val="20"/>
      <w:szCs w:val="20"/>
    </w:rPr>
  </w:style>
  <w:style w:type="paragraph" w:styleId="a7">
    <w:name w:val="header"/>
    <w:basedOn w:val="a"/>
    <w:qFormat/>
    <w:pPr>
      <w:tabs>
        <w:tab w:val="center" w:pos="4153"/>
        <w:tab w:val="right" w:pos="8306"/>
      </w:tabs>
    </w:pPr>
  </w:style>
  <w:style w:type="character" w:styleId="a8">
    <w:name w:val="footnote reference"/>
    <w:qFormat/>
    <w:rPr>
      <w:vertAlign w:val="superscript"/>
    </w:rPr>
  </w:style>
  <w:style w:type="character" w:styleId="a9">
    <w:name w:val="Hyperlink"/>
    <w:qFormat/>
    <w:rPr>
      <w:u w:val="single"/>
    </w:rPr>
  </w:style>
  <w:style w:type="paragraph" w:customStyle="1" w:styleId="BodyText2CharChar">
    <w:name w:val="Body Text 2 Char Char"/>
    <w:basedOn w:val="a"/>
    <w:qFormat/>
    <w:pPr>
      <w:jc w:val="both"/>
    </w:pPr>
    <w:rPr>
      <w:spacing w:val="20"/>
      <w:sz w:val="22"/>
    </w:rPr>
  </w:style>
  <w:style w:type="paragraph" w:customStyle="1" w:styleId="1">
    <w:name w:val="清單段落1"/>
    <w:basedOn w:val="a"/>
    <w:qFormat/>
    <w:pPr>
      <w:ind w:firstLineChars="200" w:firstLine="420"/>
    </w:pPr>
  </w:style>
  <w:style w:type="paragraph" w:customStyle="1" w:styleId="Default">
    <w:name w:val="Default"/>
    <w:qFormat/>
    <w:pPr>
      <w:autoSpaceDE w:val="0"/>
      <w:autoSpaceDN w:val="0"/>
      <w:adjustRightInd w:val="0"/>
    </w:pPr>
    <w:rPr>
      <w:rFonts w:ascii="SimSun" w:cs="SimSun"/>
      <w:sz w:val="24"/>
      <w:szCs w:val="24"/>
      <w:lang w:eastAsia="zh-CN"/>
    </w:rPr>
  </w:style>
  <w:style w:type="paragraph" w:customStyle="1" w:styleId="HTMLPreformattedCharChar">
    <w:name w:val="HTML Preformatted Char Char"/>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ListParagraph1">
    <w:name w:val="List Paragraph1"/>
    <w:basedOn w:val="a"/>
    <w:qFormat/>
    <w:pPr>
      <w:ind w:leftChars="200" w:left="480"/>
    </w:pPr>
  </w:style>
  <w:style w:type="character" w:customStyle="1" w:styleId="10">
    <w:name w:val="頁碼1"/>
    <w:basedOn w:val="a0"/>
    <w:qFormat/>
  </w:style>
  <w:style w:type="character" w:customStyle="1" w:styleId="HTMLChar">
    <w:name w:val="HTML 预设格式 Char"/>
    <w:basedOn w:val="a0"/>
    <w:link w:val="HTMLPreformattedCharChar"/>
    <w:semiHidden/>
    <w:qFormat/>
    <w:rPr>
      <w:rFonts w:ascii="Courier New" w:eastAsia="Times New Roman" w:hAnsi="Courier New" w:cs="Courier New"/>
      <w:lang w:eastAsia="zh-TW"/>
    </w:rPr>
  </w:style>
  <w:style w:type="paragraph" w:customStyle="1" w:styleId="2">
    <w:name w:val="清單段落2"/>
    <w:basedOn w:val="a"/>
    <w:uiPriority w:val="34"/>
    <w:qFormat/>
    <w:pPr>
      <w:ind w:firstLineChars="200" w:firstLine="420"/>
    </w:pPr>
  </w:style>
  <w:style w:type="paragraph" w:styleId="aa">
    <w:name w:val="List Paragraph"/>
    <w:basedOn w:val="a"/>
    <w:uiPriority w:val="99"/>
    <w:unhideWhenUsed/>
    <w:rsid w:val="00706B9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新細明體"/>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Arial" w:hAnsi="Arial"/>
      <w:sz w:val="16"/>
      <w:szCs w:val="16"/>
    </w:rPr>
  </w:style>
  <w:style w:type="paragraph" w:styleId="a4">
    <w:name w:val="Body Text"/>
    <w:basedOn w:val="a"/>
    <w:qFormat/>
    <w:pPr>
      <w:spacing w:line="360" w:lineRule="auto"/>
    </w:pPr>
    <w:rPr>
      <w:rFonts w:eastAsia="SimSun"/>
      <w:b/>
      <w:bCs/>
      <w:sz w:val="20"/>
      <w:lang w:eastAsia="zh-CN"/>
    </w:rPr>
  </w:style>
  <w:style w:type="paragraph" w:styleId="a5">
    <w:name w:val="footer"/>
    <w:basedOn w:val="a"/>
    <w:qFormat/>
    <w:pPr>
      <w:tabs>
        <w:tab w:val="center" w:pos="4153"/>
        <w:tab w:val="right" w:pos="8306"/>
      </w:tabs>
    </w:pPr>
  </w:style>
  <w:style w:type="paragraph" w:styleId="a6">
    <w:name w:val="footnote text"/>
    <w:basedOn w:val="a"/>
    <w:qFormat/>
    <w:rPr>
      <w:sz w:val="20"/>
      <w:szCs w:val="20"/>
    </w:rPr>
  </w:style>
  <w:style w:type="paragraph" w:styleId="a7">
    <w:name w:val="header"/>
    <w:basedOn w:val="a"/>
    <w:qFormat/>
    <w:pPr>
      <w:tabs>
        <w:tab w:val="center" w:pos="4153"/>
        <w:tab w:val="right" w:pos="8306"/>
      </w:tabs>
    </w:pPr>
  </w:style>
  <w:style w:type="character" w:styleId="a8">
    <w:name w:val="footnote reference"/>
    <w:qFormat/>
    <w:rPr>
      <w:vertAlign w:val="superscript"/>
    </w:rPr>
  </w:style>
  <w:style w:type="character" w:styleId="a9">
    <w:name w:val="Hyperlink"/>
    <w:qFormat/>
    <w:rPr>
      <w:u w:val="single"/>
    </w:rPr>
  </w:style>
  <w:style w:type="paragraph" w:customStyle="1" w:styleId="BodyText2CharChar">
    <w:name w:val="Body Text 2 Char Char"/>
    <w:basedOn w:val="a"/>
    <w:qFormat/>
    <w:pPr>
      <w:jc w:val="both"/>
    </w:pPr>
    <w:rPr>
      <w:spacing w:val="20"/>
      <w:sz w:val="22"/>
    </w:rPr>
  </w:style>
  <w:style w:type="paragraph" w:customStyle="1" w:styleId="1">
    <w:name w:val="清單段落1"/>
    <w:basedOn w:val="a"/>
    <w:qFormat/>
    <w:pPr>
      <w:ind w:firstLineChars="200" w:firstLine="420"/>
    </w:pPr>
  </w:style>
  <w:style w:type="paragraph" w:customStyle="1" w:styleId="Default">
    <w:name w:val="Default"/>
    <w:qFormat/>
    <w:pPr>
      <w:autoSpaceDE w:val="0"/>
      <w:autoSpaceDN w:val="0"/>
      <w:adjustRightInd w:val="0"/>
    </w:pPr>
    <w:rPr>
      <w:rFonts w:ascii="SimSun" w:cs="SimSun"/>
      <w:sz w:val="24"/>
      <w:szCs w:val="24"/>
      <w:lang w:eastAsia="zh-CN"/>
    </w:rPr>
  </w:style>
  <w:style w:type="paragraph" w:customStyle="1" w:styleId="HTMLPreformattedCharChar">
    <w:name w:val="HTML Preformatted Char Char"/>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ListParagraph1">
    <w:name w:val="List Paragraph1"/>
    <w:basedOn w:val="a"/>
    <w:qFormat/>
    <w:pPr>
      <w:ind w:leftChars="200" w:left="480"/>
    </w:pPr>
  </w:style>
  <w:style w:type="character" w:customStyle="1" w:styleId="10">
    <w:name w:val="頁碼1"/>
    <w:basedOn w:val="a0"/>
    <w:qFormat/>
  </w:style>
  <w:style w:type="character" w:customStyle="1" w:styleId="HTMLChar">
    <w:name w:val="HTML 预设格式 Char"/>
    <w:basedOn w:val="a0"/>
    <w:link w:val="HTMLPreformattedCharChar"/>
    <w:semiHidden/>
    <w:qFormat/>
    <w:rPr>
      <w:rFonts w:ascii="Courier New" w:eastAsia="Times New Roman" w:hAnsi="Courier New" w:cs="Courier New"/>
      <w:lang w:eastAsia="zh-TW"/>
    </w:rPr>
  </w:style>
  <w:style w:type="paragraph" w:customStyle="1" w:styleId="2">
    <w:name w:val="清單段落2"/>
    <w:basedOn w:val="a"/>
    <w:uiPriority w:val="34"/>
    <w:qFormat/>
    <w:pPr>
      <w:ind w:firstLineChars="200" w:firstLine="420"/>
    </w:pPr>
  </w:style>
  <w:style w:type="paragraph" w:styleId="aa">
    <w:name w:val="List Paragraph"/>
    <w:basedOn w:val="a"/>
    <w:uiPriority w:val="99"/>
    <w:unhideWhenUsed/>
    <w:rsid w:val="00706B9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歡樂時光</vt:lpstr>
    </vt:vector>
  </TitlesOfParts>
  <Company>The Government of HKSAR</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歡樂時光</dc:title>
  <dc:creator>maggie_xie</dc:creator>
  <cp:lastModifiedBy>GDETO</cp:lastModifiedBy>
  <cp:revision>7</cp:revision>
  <cp:lastPrinted>2017-10-19T09:19:00Z</cp:lastPrinted>
  <dcterms:created xsi:type="dcterms:W3CDTF">2019-01-02T02:18:00Z</dcterms:created>
  <dcterms:modified xsi:type="dcterms:W3CDTF">2019-01-11T01:43:00Z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3081-7.7.1</vt:lpwstr>
  </property>
</Properties>
</file>